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 -->
  <w:body>
    <w:p w:rsidR="005A2ACB" w:rsidRPr="005154DA" w:rsidP="009B5AF2" w14:paraId="212AF934" w14:textId="77777777">
      <w:pPr>
        <w:spacing w:before="100" w:beforeAutospacing="1" w:after="240"/>
        <w:jc w:val="center"/>
        <w:rPr>
          <w:rStyle w:val="Strong"/>
        </w:rPr>
      </w:pPr>
      <w:bookmarkStart w:id="0" w:name="_GoBack"/>
      <w:bookmarkEnd w:id="0"/>
      <w:r w:rsidRPr="005154DA">
        <w:rPr>
          <w:rStyle w:val="Strong"/>
        </w:rPr>
        <w:t xml:space="preserve">Ministru kabineta noteikumu projekta </w:t>
      </w:r>
      <w:r w:rsidRPr="005154DA" w:rsidR="009B04A4">
        <w:rPr>
          <w:rFonts w:eastAsia="Times New Roman"/>
          <w:b/>
          <w:bCs/>
          <w:szCs w:val="24"/>
          <w:lang w:eastAsia="lv-LV"/>
        </w:rPr>
        <w:t>“</w:t>
      </w:r>
      <w:r w:rsidRPr="005154DA" w:rsidR="009B04A4">
        <w:rPr>
          <w:b/>
          <w:szCs w:val="24"/>
        </w:rPr>
        <w:t xml:space="preserve">Grozījums Ministru kabineta 2016.gada 26.jūlija noteikumos Nr.487 “Uzņēmumu </w:t>
      </w:r>
      <w:r w:rsidRPr="005154DA" w:rsidR="009B04A4">
        <w:rPr>
          <w:b/>
          <w:szCs w:val="24"/>
        </w:rPr>
        <w:t>energoaudita</w:t>
      </w:r>
      <w:r w:rsidRPr="005154DA" w:rsidR="009B04A4">
        <w:rPr>
          <w:b/>
          <w:szCs w:val="24"/>
        </w:rPr>
        <w:t xml:space="preserve"> noteikumi”” </w:t>
      </w:r>
      <w:r w:rsidRPr="005154DA">
        <w:rPr>
          <w:rStyle w:val="Strong"/>
        </w:rPr>
        <w:t>sākotnējās ietekmes novērtējuma ziņojums (anotācija)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78"/>
        <w:gridCol w:w="2437"/>
        <w:gridCol w:w="6140"/>
      </w:tblGrid>
      <w:tr w14:paraId="08126BFB" w14:textId="77777777" w:rsidTr="009B5AF2">
        <w:tblPrEx>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Ex>
        <w:trPr>
          <w:trHeight w:val="405"/>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rsidR="005A2ACB" w:rsidRPr="005154DA" w:rsidP="005A2ACB" w14:paraId="08A6F505" w14:textId="77777777">
            <w:pPr>
              <w:spacing w:before="100" w:beforeAutospacing="1" w:after="100" w:afterAutospacing="1"/>
              <w:jc w:val="center"/>
              <w:rPr>
                <w:rFonts w:eastAsia="Times New Roman" w:cs="Times New Roman"/>
                <w:b/>
                <w:bCs/>
                <w:szCs w:val="28"/>
                <w:lang w:eastAsia="lv-LV"/>
              </w:rPr>
            </w:pPr>
            <w:r w:rsidRPr="005154DA">
              <w:rPr>
                <w:rFonts w:eastAsia="Times New Roman" w:cs="Times New Roman"/>
                <w:b/>
                <w:bCs/>
                <w:szCs w:val="28"/>
                <w:lang w:eastAsia="lv-LV"/>
              </w:rPr>
              <w:t>I. Tiesību akta projekta izstrādes nepieciešamība</w:t>
            </w:r>
          </w:p>
        </w:tc>
      </w:tr>
      <w:tr w14:paraId="7B520AF7" w14:textId="77777777" w:rsidTr="009B5AF2">
        <w:tblPrEx>
          <w:tblW w:w="5000" w:type="pct"/>
          <w:tblCellSpacing w:w="15" w:type="dxa"/>
          <w:tblCellMar>
            <w:top w:w="30" w:type="dxa"/>
            <w:left w:w="30" w:type="dxa"/>
            <w:bottom w:w="30" w:type="dxa"/>
            <w:right w:w="30" w:type="dxa"/>
          </w:tblCellMar>
          <w:tblLook w:val="04A0"/>
        </w:tblPrEx>
        <w:trPr>
          <w:trHeight w:val="405"/>
          <w:tblCellSpacing w:w="15" w:type="dxa"/>
        </w:trPr>
        <w:tc>
          <w:tcPr>
            <w:tcW w:w="241" w:type="pct"/>
            <w:tcBorders>
              <w:top w:val="outset" w:sz="6" w:space="0" w:color="auto"/>
              <w:left w:val="outset" w:sz="6" w:space="0" w:color="auto"/>
              <w:bottom w:val="outset" w:sz="6" w:space="0" w:color="auto"/>
              <w:right w:val="outset" w:sz="6" w:space="0" w:color="auto"/>
            </w:tcBorders>
            <w:hideMark/>
          </w:tcPr>
          <w:p w:rsidR="005A2ACB" w:rsidRPr="005154DA" w:rsidP="005A2ACB" w14:paraId="45C52146" w14:textId="77777777">
            <w:pPr>
              <w:spacing w:before="100" w:beforeAutospacing="1" w:after="100" w:afterAutospacing="1"/>
              <w:jc w:val="center"/>
              <w:rPr>
                <w:rFonts w:eastAsia="Times New Roman" w:cs="Times New Roman"/>
                <w:szCs w:val="28"/>
                <w:lang w:eastAsia="lv-LV"/>
              </w:rPr>
            </w:pPr>
            <w:r w:rsidRPr="005154DA">
              <w:rPr>
                <w:rFonts w:eastAsia="Times New Roman" w:cs="Times New Roman"/>
                <w:szCs w:val="28"/>
                <w:lang w:eastAsia="lv-LV"/>
              </w:rPr>
              <w:t>1.</w:t>
            </w:r>
          </w:p>
        </w:tc>
        <w:tc>
          <w:tcPr>
            <w:tcW w:w="1338" w:type="pct"/>
            <w:tcBorders>
              <w:top w:val="outset" w:sz="6" w:space="0" w:color="auto"/>
              <w:left w:val="outset" w:sz="6" w:space="0" w:color="auto"/>
              <w:bottom w:val="outset" w:sz="6" w:space="0" w:color="auto"/>
              <w:right w:val="outset" w:sz="6" w:space="0" w:color="auto"/>
            </w:tcBorders>
            <w:hideMark/>
          </w:tcPr>
          <w:p w:rsidR="005A2ACB" w:rsidRPr="005154DA" w:rsidP="0011047A" w14:paraId="369A50E6" w14:textId="77777777">
            <w:pPr>
              <w:ind w:right="97"/>
              <w:jc w:val="both"/>
              <w:rPr>
                <w:rFonts w:eastAsia="Times New Roman" w:cs="Times New Roman"/>
                <w:szCs w:val="28"/>
                <w:lang w:eastAsia="lv-LV"/>
              </w:rPr>
            </w:pPr>
            <w:r w:rsidRPr="005154DA">
              <w:rPr>
                <w:rFonts w:eastAsia="Times New Roman" w:cs="Times New Roman"/>
                <w:szCs w:val="28"/>
                <w:lang w:eastAsia="lv-LV"/>
              </w:rPr>
              <w:t>Pamatojums</w:t>
            </w:r>
          </w:p>
        </w:tc>
        <w:tc>
          <w:tcPr>
            <w:tcW w:w="3354" w:type="pct"/>
            <w:tcBorders>
              <w:top w:val="outset" w:sz="6" w:space="0" w:color="auto"/>
              <w:left w:val="outset" w:sz="6" w:space="0" w:color="auto"/>
              <w:bottom w:val="outset" w:sz="6" w:space="0" w:color="auto"/>
              <w:right w:val="outset" w:sz="6" w:space="0" w:color="auto"/>
            </w:tcBorders>
            <w:hideMark/>
          </w:tcPr>
          <w:p w:rsidR="009D6923" w:rsidRPr="005154DA" w:rsidP="00F05AA0" w14:paraId="591E528F" w14:textId="77777777">
            <w:pPr>
              <w:ind w:right="140"/>
              <w:jc w:val="both"/>
              <w:rPr>
                <w:rFonts w:eastAsia="SimSun" w:cs="Times New Roman"/>
                <w:szCs w:val="28"/>
                <w:lang w:eastAsia="zh-CN"/>
              </w:rPr>
            </w:pPr>
            <w:r w:rsidRPr="005154DA">
              <w:t xml:space="preserve">Ekonomikas ministrija ir izstrādājusi Ministru kabineta noteikumu projektu </w:t>
            </w:r>
            <w:r w:rsidRPr="005154DA">
              <w:rPr>
                <w:rFonts w:eastAsia="Times New Roman"/>
                <w:b/>
                <w:bCs/>
                <w:szCs w:val="24"/>
                <w:lang w:eastAsia="lv-LV"/>
              </w:rPr>
              <w:t>“</w:t>
            </w:r>
            <w:r w:rsidRPr="005154DA">
              <w:rPr>
                <w:b/>
                <w:szCs w:val="24"/>
              </w:rPr>
              <w:t>Grozījum</w:t>
            </w:r>
            <w:r w:rsidRPr="005154DA" w:rsidR="00325E59">
              <w:rPr>
                <w:b/>
                <w:szCs w:val="24"/>
              </w:rPr>
              <w:t>s</w:t>
            </w:r>
            <w:r w:rsidRPr="005154DA">
              <w:rPr>
                <w:b/>
                <w:szCs w:val="24"/>
              </w:rPr>
              <w:t xml:space="preserve"> Ministru kabineta 2016.gada 26.jūlija noteikumos Nr.487 “Uzņēmumu </w:t>
            </w:r>
            <w:r w:rsidRPr="005154DA">
              <w:rPr>
                <w:b/>
                <w:szCs w:val="24"/>
              </w:rPr>
              <w:t>energoaudita</w:t>
            </w:r>
            <w:r w:rsidRPr="005154DA">
              <w:rPr>
                <w:b/>
                <w:szCs w:val="24"/>
              </w:rPr>
              <w:t xml:space="preserve"> noteikumi”” </w:t>
            </w:r>
            <w:r w:rsidRPr="005154DA">
              <w:rPr>
                <w:szCs w:val="24"/>
              </w:rPr>
              <w:t>(turpmāk – noteikumu projekts),</w:t>
            </w:r>
            <w:r w:rsidRPr="005154DA">
              <w:rPr>
                <w:b/>
                <w:szCs w:val="24"/>
              </w:rPr>
              <w:t xml:space="preserve"> </w:t>
            </w:r>
            <w:r w:rsidRPr="005154DA">
              <w:rPr>
                <w:szCs w:val="24"/>
              </w:rPr>
              <w:t xml:space="preserve">lai </w:t>
            </w:r>
            <w:r w:rsidRPr="005154DA">
              <w:rPr>
                <w:szCs w:val="24"/>
              </w:rPr>
              <w:t xml:space="preserve">uzlabotu energoefektivitātes normatīvo regulējumu attiecībā uz </w:t>
            </w:r>
            <w:r w:rsidRPr="005154DA">
              <w:rPr>
                <w:szCs w:val="24"/>
              </w:rPr>
              <w:t>energoauditu</w:t>
            </w:r>
            <w:r w:rsidRPr="005154DA">
              <w:rPr>
                <w:szCs w:val="24"/>
              </w:rPr>
              <w:t xml:space="preserve"> veikšanu ēkās, kurās uzņēmums veic savu darbību un kuras nav saistītas ar </w:t>
            </w:r>
            <w:r w:rsidRPr="005154DA">
              <w:rPr>
                <w:szCs w:val="28"/>
              </w:rPr>
              <w:t xml:space="preserve">ražošanas procesu nodrošināšanu, kā arī  uz ēku apkures sistēmu un gaisa kondicionēšanas sistēmu pārbaudi, </w:t>
            </w:r>
            <w:r w:rsidRPr="005154DA">
              <w:rPr>
                <w:szCs w:val="24"/>
              </w:rPr>
              <w:t>ņemot vērā praksē konstatētās problēmas un novērstu pretrunas starp vienāda juridiska spēka tiesību normām.</w:t>
            </w:r>
            <w:r w:rsidRPr="005154DA">
              <w:rPr>
                <w:szCs w:val="28"/>
              </w:rPr>
              <w:t xml:space="preserve"> </w:t>
            </w:r>
          </w:p>
        </w:tc>
      </w:tr>
      <w:tr w14:paraId="23FCC3F5" w14:textId="77777777" w:rsidTr="009B5AF2">
        <w:tblPrEx>
          <w:tblW w:w="5000" w:type="pct"/>
          <w:tblCellSpacing w:w="15" w:type="dxa"/>
          <w:tblCellMar>
            <w:top w:w="30" w:type="dxa"/>
            <w:left w:w="30" w:type="dxa"/>
            <w:bottom w:w="30" w:type="dxa"/>
            <w:right w:w="30" w:type="dxa"/>
          </w:tblCellMar>
          <w:tblLook w:val="04A0"/>
        </w:tblPrEx>
        <w:trPr>
          <w:trHeight w:val="465"/>
          <w:tblCellSpacing w:w="15" w:type="dxa"/>
        </w:trPr>
        <w:tc>
          <w:tcPr>
            <w:tcW w:w="241" w:type="pct"/>
            <w:tcBorders>
              <w:top w:val="outset" w:sz="6" w:space="0" w:color="auto"/>
              <w:left w:val="outset" w:sz="6" w:space="0" w:color="auto"/>
              <w:bottom w:val="outset" w:sz="6" w:space="0" w:color="auto"/>
              <w:right w:val="outset" w:sz="6" w:space="0" w:color="auto"/>
            </w:tcBorders>
            <w:hideMark/>
          </w:tcPr>
          <w:p w:rsidR="005A2ACB" w:rsidRPr="005154DA" w:rsidP="005A2ACB" w14:paraId="157BAFD4" w14:textId="77777777">
            <w:pPr>
              <w:spacing w:before="100" w:beforeAutospacing="1" w:after="100" w:afterAutospacing="1"/>
              <w:jc w:val="center"/>
              <w:rPr>
                <w:rFonts w:eastAsia="Times New Roman" w:cs="Times New Roman"/>
                <w:szCs w:val="28"/>
                <w:lang w:eastAsia="lv-LV"/>
              </w:rPr>
            </w:pPr>
            <w:r w:rsidRPr="005154DA">
              <w:rPr>
                <w:rFonts w:eastAsia="Times New Roman" w:cs="Times New Roman"/>
                <w:szCs w:val="28"/>
                <w:lang w:eastAsia="lv-LV"/>
              </w:rPr>
              <w:t>2.</w:t>
            </w:r>
          </w:p>
        </w:tc>
        <w:tc>
          <w:tcPr>
            <w:tcW w:w="1338" w:type="pct"/>
            <w:tcBorders>
              <w:top w:val="outset" w:sz="6" w:space="0" w:color="auto"/>
              <w:left w:val="outset" w:sz="6" w:space="0" w:color="auto"/>
              <w:bottom w:val="outset" w:sz="6" w:space="0" w:color="auto"/>
              <w:right w:val="outset" w:sz="6" w:space="0" w:color="auto"/>
            </w:tcBorders>
            <w:hideMark/>
          </w:tcPr>
          <w:p w:rsidR="005A2ACB" w:rsidRPr="005154DA" w:rsidP="0011047A" w14:paraId="45150280" w14:textId="77777777">
            <w:pPr>
              <w:ind w:left="82" w:right="97"/>
              <w:jc w:val="both"/>
              <w:rPr>
                <w:rFonts w:eastAsia="Times New Roman" w:cs="Times New Roman"/>
                <w:szCs w:val="28"/>
                <w:lang w:eastAsia="lv-LV"/>
              </w:rPr>
            </w:pPr>
            <w:r w:rsidRPr="005154DA">
              <w:rPr>
                <w:rFonts w:eastAsia="Times New Roman" w:cs="Times New Roman"/>
                <w:szCs w:val="28"/>
                <w:lang w:eastAsia="lv-LV"/>
              </w:rPr>
              <w:t>Pašreizējā situācija un problēmas, kuru risināšanai tiesību akta projekts izstrādāts, tiesiskā regulējuma mērķis un būtība</w:t>
            </w:r>
          </w:p>
        </w:tc>
        <w:tc>
          <w:tcPr>
            <w:tcW w:w="3354" w:type="pct"/>
            <w:tcBorders>
              <w:top w:val="outset" w:sz="6" w:space="0" w:color="auto"/>
              <w:left w:val="outset" w:sz="6" w:space="0" w:color="auto"/>
              <w:bottom w:val="outset" w:sz="6" w:space="0" w:color="auto"/>
              <w:right w:val="outset" w:sz="6" w:space="0" w:color="auto"/>
            </w:tcBorders>
          </w:tcPr>
          <w:p w:rsidR="00A2798F" w:rsidRPr="005154DA" w:rsidP="00465D3E" w14:paraId="520DC1F7" w14:textId="77777777">
            <w:pPr>
              <w:jc w:val="both"/>
              <w:rPr>
                <w:szCs w:val="28"/>
              </w:rPr>
            </w:pPr>
            <w:r w:rsidRPr="005154DA">
              <w:rPr>
                <w:szCs w:val="24"/>
              </w:rPr>
              <w:t xml:space="preserve">Noteikumu projekta mērķis ir nodrošināt kvalitatīvu un rentablu uzņēmumu </w:t>
            </w:r>
            <w:r w:rsidRPr="005154DA">
              <w:rPr>
                <w:szCs w:val="24"/>
              </w:rPr>
              <w:t>energoauditu</w:t>
            </w:r>
            <w:r w:rsidRPr="005154DA">
              <w:rPr>
                <w:szCs w:val="24"/>
              </w:rPr>
              <w:t xml:space="preserve"> veikšanu gadījumos, kad  </w:t>
            </w:r>
            <w:r w:rsidRPr="005154DA">
              <w:rPr>
                <w:szCs w:val="24"/>
              </w:rPr>
              <w:t xml:space="preserve">uzņēmums veic savu darbību ēkās, un tā nav saistīta ar </w:t>
            </w:r>
            <w:r w:rsidRPr="005154DA">
              <w:rPr>
                <w:szCs w:val="28"/>
              </w:rPr>
              <w:t xml:space="preserve">ražošanas procesu nodrošināšanu.  </w:t>
            </w:r>
          </w:p>
          <w:p w:rsidR="009F1344" w:rsidRPr="005154DA" w:rsidP="00A2798F" w14:paraId="7C8BBF0B" w14:textId="77777777">
            <w:pPr>
              <w:jc w:val="both"/>
              <w:rPr>
                <w:szCs w:val="24"/>
              </w:rPr>
            </w:pPr>
            <w:r w:rsidRPr="005154DA">
              <w:rPr>
                <w:szCs w:val="24"/>
              </w:rPr>
              <w:t xml:space="preserve">Spēkā esošajā regulējumā </w:t>
            </w:r>
            <w:r w:rsidRPr="005154DA" w:rsidR="00465D3E">
              <w:rPr>
                <w:szCs w:val="24"/>
              </w:rPr>
              <w:t xml:space="preserve">Ministru kabineta 2016.gada 26.jūlija noteikumu Nr.487 “Uzņēmumu </w:t>
            </w:r>
            <w:r w:rsidRPr="005154DA" w:rsidR="00465D3E">
              <w:rPr>
                <w:szCs w:val="24"/>
              </w:rPr>
              <w:t>energoaudita</w:t>
            </w:r>
            <w:r w:rsidRPr="005154DA" w:rsidR="00465D3E">
              <w:rPr>
                <w:szCs w:val="24"/>
              </w:rPr>
              <w:t xml:space="preserve"> noteikumi” 2.punktā ir norādīts,</w:t>
            </w:r>
            <w:r w:rsidRPr="005154DA">
              <w:rPr>
                <w:szCs w:val="24"/>
              </w:rPr>
              <w:t xml:space="preserve"> ka,</w:t>
            </w:r>
            <w:r w:rsidRPr="005154DA" w:rsidR="00465D3E">
              <w:rPr>
                <w:szCs w:val="24"/>
              </w:rPr>
              <w:t xml:space="preserve"> ja uzņēmuma enerģijas patēriņš ēku apkurei ir 90% (un vairāk) no kopējā enerģijas patēriņa, uzņēmuma </w:t>
            </w:r>
            <w:r w:rsidRPr="005154DA" w:rsidR="00465D3E">
              <w:rPr>
                <w:szCs w:val="24"/>
              </w:rPr>
              <w:t>energoauditu</w:t>
            </w:r>
            <w:r w:rsidRPr="005154DA" w:rsidR="00465D3E">
              <w:rPr>
                <w:szCs w:val="24"/>
              </w:rPr>
              <w:t xml:space="preserve"> ir tiesīgs veikt neatkarīgs eksperts ēku energoefektivitātes jomā. Minētās tiesību normas attiecināšana tikai uz enerģijas patēriņu ēku apkurei ir pretrunā ar </w:t>
            </w:r>
            <w:r w:rsidRPr="005154DA" w:rsidR="00465D3E">
              <w:t>Ministru kabineta 2013.gada 25.jūnija noteikumu Nr.348 “</w:t>
            </w:r>
            <w:r w:rsidRPr="005154DA" w:rsidR="00465D3E">
              <w:rPr>
                <w:rFonts w:eastAsia="Times New Roman"/>
                <w:bCs/>
                <w:szCs w:val="24"/>
                <w:lang w:eastAsia="lv-LV"/>
              </w:rPr>
              <w:t>Ēkas energoefektivitātes aprēķina metode”</w:t>
            </w:r>
            <w:r w:rsidRPr="005154DA" w:rsidR="007F2DDA">
              <w:rPr>
                <w:rFonts w:eastAsia="Times New Roman"/>
                <w:bCs/>
                <w:szCs w:val="24"/>
                <w:lang w:eastAsia="lv-LV"/>
              </w:rPr>
              <w:t xml:space="preserve"> (turpmāk – MK noteikumi Nr.348)</w:t>
            </w:r>
            <w:r w:rsidRPr="005154DA" w:rsidR="00465D3E">
              <w:rPr>
                <w:rFonts w:eastAsia="Times New Roman"/>
                <w:bCs/>
                <w:szCs w:val="24"/>
                <w:lang w:eastAsia="lv-LV"/>
              </w:rPr>
              <w:t xml:space="preserve"> </w:t>
            </w:r>
            <w:r w:rsidRPr="005154DA" w:rsidR="00A2798F">
              <w:rPr>
                <w:rFonts w:eastAsia="Times New Roman"/>
                <w:bCs/>
                <w:szCs w:val="24"/>
                <w:lang w:eastAsia="lv-LV"/>
              </w:rPr>
              <w:t>3.punkt</w:t>
            </w:r>
            <w:r w:rsidRPr="005154DA" w:rsidR="000D24C3">
              <w:rPr>
                <w:rFonts w:eastAsia="Times New Roman"/>
                <w:bCs/>
                <w:szCs w:val="24"/>
                <w:lang w:eastAsia="lv-LV"/>
              </w:rPr>
              <w:t>u</w:t>
            </w:r>
            <w:r w:rsidRPr="005154DA" w:rsidR="00465D3E">
              <w:rPr>
                <w:rFonts w:eastAsia="Times New Roman"/>
                <w:bCs/>
                <w:szCs w:val="24"/>
                <w:lang w:eastAsia="lv-LV"/>
              </w:rPr>
              <w:t xml:space="preserve">, kas nosaka </w:t>
            </w:r>
            <w:r w:rsidRPr="005154DA" w:rsidR="007F2DDA">
              <w:rPr>
                <w:rFonts w:eastAsia="Times New Roman"/>
                <w:bCs/>
                <w:szCs w:val="24"/>
                <w:lang w:eastAsia="lv-LV"/>
              </w:rPr>
              <w:t>ēkas energoefektivitātes novērtējumā iekļaujamās inženiertehniskās sistēmas: apkure,</w:t>
            </w:r>
            <w:r w:rsidRPr="005154DA" w:rsidR="00A2798F">
              <w:rPr>
                <w:szCs w:val="24"/>
              </w:rPr>
              <w:t xml:space="preserve"> sadzīves vajadzībām nepieciešamā karstā ūdens sagatavošana</w:t>
            </w:r>
            <w:r w:rsidRPr="005154DA" w:rsidR="007F2DDA">
              <w:rPr>
                <w:szCs w:val="24"/>
              </w:rPr>
              <w:t>, ventilācija un dzesēšana, kā arī apgaismojums</w:t>
            </w:r>
            <w:r w:rsidRPr="005154DA" w:rsidR="00A2798F">
              <w:rPr>
                <w:szCs w:val="24"/>
              </w:rPr>
              <w:t>.</w:t>
            </w:r>
          </w:p>
          <w:p w:rsidR="009F1344" w:rsidRPr="005154DA" w:rsidP="009F1344" w14:paraId="2D1E47CC" w14:textId="625AE651">
            <w:pPr>
              <w:ind w:right="196"/>
              <w:jc w:val="both"/>
              <w:rPr>
                <w:rFonts w:eastAsia="Times New Roman"/>
                <w:bCs/>
                <w:szCs w:val="24"/>
                <w:lang w:eastAsia="lv-LV"/>
              </w:rPr>
            </w:pPr>
            <w:r w:rsidRPr="005154DA">
              <w:rPr>
                <w:rFonts w:eastAsia="Times New Roman"/>
                <w:bCs/>
                <w:szCs w:val="24"/>
                <w:lang w:eastAsia="lv-LV"/>
              </w:rPr>
              <w:t xml:space="preserve">Savukārt Energoefektivitātes likuma 10.panta piektā daļa un 12.panta piektā daļa attiecīgi nosaka, ka lielie uzņēmumi un lielie elektroenerģijas patērētāji </w:t>
            </w:r>
            <w:r w:rsidRPr="005154DA">
              <w:rPr>
                <w:rFonts w:eastAsia="Times New Roman"/>
                <w:bCs/>
                <w:szCs w:val="24"/>
                <w:lang w:eastAsia="lv-LV"/>
              </w:rPr>
              <w:t xml:space="preserve">regulāri, ne retāk kā reizi četros gados, veic </w:t>
            </w:r>
            <w:r w:rsidRPr="005154DA">
              <w:rPr>
                <w:rFonts w:eastAsia="Times New Roman"/>
                <w:bCs/>
                <w:szCs w:val="24"/>
                <w:lang w:eastAsia="lv-LV"/>
              </w:rPr>
              <w:t>energoauditu</w:t>
            </w:r>
            <w:r w:rsidRPr="005154DA">
              <w:rPr>
                <w:rFonts w:eastAsia="Times New Roman"/>
                <w:bCs/>
                <w:szCs w:val="24"/>
                <w:lang w:eastAsia="lv-LV"/>
              </w:rPr>
              <w:t xml:space="preserve">. </w:t>
            </w:r>
          </w:p>
          <w:p w:rsidR="00A2798F" w:rsidRPr="005154DA" w:rsidP="009F1344" w14:paraId="74D6F5EC" w14:textId="4A2F6FCC">
            <w:pPr>
              <w:jc w:val="both"/>
              <w:rPr>
                <w:szCs w:val="24"/>
              </w:rPr>
            </w:pPr>
            <w:r w:rsidRPr="005154DA">
              <w:rPr>
                <w:rFonts w:eastAsia="Times New Roman"/>
                <w:bCs/>
                <w:szCs w:val="24"/>
                <w:lang w:eastAsia="lv-LV"/>
              </w:rPr>
              <w:t xml:space="preserve">Iesniegtie lielo uzņēmumu un lielo elektroenerģijas patērētāju </w:t>
            </w:r>
            <w:r w:rsidRPr="005154DA">
              <w:rPr>
                <w:rFonts w:eastAsia="Times New Roman"/>
                <w:bCs/>
                <w:szCs w:val="24"/>
                <w:lang w:eastAsia="lv-LV"/>
              </w:rPr>
              <w:t>energoauditu</w:t>
            </w:r>
            <w:r w:rsidRPr="005154DA">
              <w:rPr>
                <w:rFonts w:eastAsia="Times New Roman"/>
                <w:bCs/>
                <w:szCs w:val="24"/>
                <w:lang w:eastAsia="lv-LV"/>
              </w:rPr>
              <w:t xml:space="preserve"> pārskati vairākos gadījumos liecina, ka ēku </w:t>
            </w:r>
            <w:r w:rsidRPr="005154DA">
              <w:rPr>
                <w:rFonts w:eastAsia="Times New Roman"/>
                <w:bCs/>
                <w:szCs w:val="24"/>
                <w:lang w:eastAsia="lv-LV"/>
              </w:rPr>
              <w:t>energoauditi</w:t>
            </w:r>
            <w:r w:rsidRPr="005154DA">
              <w:rPr>
                <w:rFonts w:eastAsia="Times New Roman"/>
                <w:bCs/>
                <w:szCs w:val="24"/>
                <w:lang w:eastAsia="lv-LV"/>
              </w:rPr>
              <w:t xml:space="preserve"> nav veikti atbilstoši MK noteikumu Nr.348 3.punkta prasībām.</w:t>
            </w:r>
            <w:r w:rsidRPr="005154DA">
              <w:rPr>
                <w:szCs w:val="24"/>
              </w:rPr>
              <w:t xml:space="preserve"> </w:t>
            </w:r>
          </w:p>
          <w:p w:rsidR="00181092" w:rsidRPr="005154DA" w:rsidP="000808B7" w14:paraId="617D6E49" w14:textId="207EC006">
            <w:pPr>
              <w:shd w:val="clear" w:color="auto" w:fill="FFFFFF"/>
              <w:jc w:val="both"/>
              <w:rPr>
                <w:rFonts w:eastAsia="Times New Roman"/>
                <w:bCs/>
                <w:szCs w:val="24"/>
                <w:lang w:eastAsia="lv-LV"/>
              </w:rPr>
            </w:pPr>
            <w:r w:rsidRPr="005154DA">
              <w:rPr>
                <w:rFonts w:cs="Times New Roman"/>
                <w:szCs w:val="28"/>
                <w:shd w:val="clear" w:color="auto" w:fill="FFFFFF"/>
              </w:rPr>
              <w:t xml:space="preserve">Ēkas </w:t>
            </w:r>
            <w:r w:rsidRPr="005154DA">
              <w:rPr>
                <w:rFonts w:cs="Times New Roman"/>
                <w:szCs w:val="28"/>
                <w:shd w:val="clear" w:color="auto" w:fill="FFFFFF"/>
              </w:rPr>
              <w:t>energoaudita</w:t>
            </w:r>
            <w:r w:rsidRPr="005154DA">
              <w:rPr>
                <w:rFonts w:cs="Times New Roman"/>
                <w:szCs w:val="28"/>
                <w:shd w:val="clear" w:color="auto" w:fill="FFFFFF"/>
              </w:rPr>
              <w:t xml:space="preserve"> ietvaros tiek veikta ēkas apsekošana, vēsturisko enerģijas patēriņa datu analīze un nepieciešamie mērījumi, novērtēta ēkas inženierkomunikāciju darbība (apkures, ventilācijas, dzesēšanas, karstā ūdens sagatavošanas u.c. sistēmas) un norobežojošo konstrukciju stāvoklis, t.i. veikta ēkas energoefektivitātes novērtēšana saskaņā ar Ēku energoefektivitātes likuma prasībām un identificēti energoefektivitātes uzlabošanas pasākumi. Ēkas </w:t>
            </w:r>
            <w:r w:rsidRPr="005154DA">
              <w:rPr>
                <w:rFonts w:cs="Times New Roman"/>
                <w:szCs w:val="28"/>
                <w:shd w:val="clear" w:color="auto" w:fill="FFFFFF"/>
              </w:rPr>
              <w:t>energoaudita</w:t>
            </w:r>
            <w:r w:rsidRPr="005154DA">
              <w:rPr>
                <w:rFonts w:cs="Times New Roman"/>
                <w:szCs w:val="28"/>
                <w:shd w:val="clear" w:color="auto" w:fill="FFFFFF"/>
              </w:rPr>
              <w:t xml:space="preserve"> rezultātā var tikt izsniegts</w:t>
            </w:r>
            <w:r w:rsidR="005154DA">
              <w:rPr>
                <w:rFonts w:cs="Times New Roman"/>
                <w:szCs w:val="28"/>
                <w:shd w:val="clear" w:color="auto" w:fill="FFFFFF"/>
              </w:rPr>
              <w:t>,</w:t>
            </w:r>
            <w:r w:rsidRPr="005154DA" w:rsidR="009F1344">
              <w:rPr>
                <w:rFonts w:cs="Times New Roman"/>
                <w:szCs w:val="28"/>
                <w:shd w:val="clear" w:color="auto" w:fill="FFFFFF"/>
              </w:rPr>
              <w:t xml:space="preserve"> atbilstoši </w:t>
            </w:r>
            <w:r w:rsidRPr="005154DA" w:rsidR="009F1344">
              <w:rPr>
                <w:rFonts w:eastAsia="Times New Roman" w:cs="Times New Roman"/>
                <w:bCs/>
                <w:szCs w:val="28"/>
                <w:lang w:eastAsia="lv-LV"/>
              </w:rPr>
              <w:t>Ministru kabineta 2013.gada 9.jūlija noteikumu Nr.383</w:t>
            </w:r>
            <w:r w:rsidRPr="005154DA" w:rsidR="009F1344">
              <w:rPr>
                <w:rFonts w:eastAsia="Times New Roman" w:cs="Times New Roman"/>
                <w:szCs w:val="28"/>
                <w:lang w:eastAsia="lv-LV"/>
              </w:rPr>
              <w:t> “</w:t>
            </w:r>
            <w:r w:rsidRPr="005154DA" w:rsidR="009F1344">
              <w:rPr>
                <w:rFonts w:eastAsia="Times New Roman" w:cs="Times New Roman"/>
                <w:bCs/>
                <w:szCs w:val="28"/>
                <w:lang w:eastAsia="lv-LV"/>
              </w:rPr>
              <w:t xml:space="preserve">Noteikumi par ēku </w:t>
            </w:r>
            <w:r w:rsidRPr="005154DA" w:rsidR="009F1344">
              <w:rPr>
                <w:rFonts w:eastAsia="Times New Roman" w:cs="Times New Roman"/>
                <w:bCs/>
                <w:szCs w:val="28"/>
                <w:lang w:eastAsia="lv-LV"/>
              </w:rPr>
              <w:t>energosertifikāciju</w:t>
            </w:r>
            <w:r w:rsidRPr="005154DA" w:rsidR="009F1344">
              <w:rPr>
                <w:rFonts w:eastAsia="Times New Roman" w:cs="Times New Roman"/>
                <w:bCs/>
                <w:szCs w:val="28"/>
                <w:lang w:eastAsia="lv-LV"/>
              </w:rPr>
              <w:t>” 6.un 7.punkta prasībām</w:t>
            </w:r>
            <w:r w:rsidRPr="005154DA" w:rsidR="009F1344">
              <w:rPr>
                <w:rFonts w:eastAsia="Times New Roman" w:cs="Times New Roman"/>
                <w:szCs w:val="28"/>
                <w:lang w:eastAsia="lv-LV"/>
              </w:rPr>
              <w:t xml:space="preserve"> izstrādāts</w:t>
            </w:r>
            <w:r w:rsidR="005154DA">
              <w:rPr>
                <w:rFonts w:eastAsia="Times New Roman" w:cs="Times New Roman"/>
                <w:szCs w:val="28"/>
                <w:lang w:eastAsia="lv-LV"/>
              </w:rPr>
              <w:t>,</w:t>
            </w:r>
            <w:r w:rsidRPr="005154DA" w:rsidR="009F1344">
              <w:rPr>
                <w:rFonts w:eastAsia="Times New Roman" w:cs="Times New Roman"/>
                <w:szCs w:val="28"/>
                <w:lang w:eastAsia="lv-LV"/>
              </w:rPr>
              <w:t xml:space="preserve"> </w:t>
            </w:r>
            <w:r w:rsidRPr="005154DA">
              <w:rPr>
                <w:rFonts w:cs="Times New Roman"/>
                <w:szCs w:val="28"/>
                <w:shd w:val="clear" w:color="auto" w:fill="FFFFFF"/>
              </w:rPr>
              <w:t xml:space="preserve">ēkas </w:t>
            </w:r>
            <w:r w:rsidRPr="005154DA">
              <w:rPr>
                <w:rFonts w:cs="Times New Roman"/>
                <w:szCs w:val="28"/>
                <w:shd w:val="clear" w:color="auto" w:fill="FFFFFF"/>
              </w:rPr>
              <w:t>energosertifikāts</w:t>
            </w:r>
            <w:r w:rsidRPr="005154DA">
              <w:rPr>
                <w:rFonts w:cs="Times New Roman"/>
                <w:szCs w:val="28"/>
                <w:shd w:val="clear" w:color="auto" w:fill="FFFFFF"/>
              </w:rPr>
              <w:t>.</w:t>
            </w:r>
          </w:p>
        </w:tc>
      </w:tr>
      <w:tr w14:paraId="4ABABF85" w14:textId="77777777" w:rsidTr="009B5AF2">
        <w:tblPrEx>
          <w:tblW w:w="5000" w:type="pct"/>
          <w:tblCellSpacing w:w="15" w:type="dxa"/>
          <w:tblCellMar>
            <w:top w:w="30" w:type="dxa"/>
            <w:left w:w="30" w:type="dxa"/>
            <w:bottom w:w="30" w:type="dxa"/>
            <w:right w:w="30" w:type="dxa"/>
          </w:tblCellMar>
          <w:tblLook w:val="04A0"/>
        </w:tblPrEx>
        <w:trPr>
          <w:trHeight w:val="465"/>
          <w:tblCellSpacing w:w="15" w:type="dxa"/>
        </w:trPr>
        <w:tc>
          <w:tcPr>
            <w:tcW w:w="241" w:type="pct"/>
            <w:tcBorders>
              <w:top w:val="outset" w:sz="6" w:space="0" w:color="auto"/>
              <w:left w:val="outset" w:sz="6" w:space="0" w:color="auto"/>
              <w:bottom w:val="outset" w:sz="6" w:space="0" w:color="auto"/>
              <w:right w:val="outset" w:sz="6" w:space="0" w:color="auto"/>
            </w:tcBorders>
            <w:hideMark/>
          </w:tcPr>
          <w:p w:rsidR="005A2ACB" w:rsidRPr="005154DA" w:rsidP="005A2ACB" w14:paraId="32F654E3" w14:textId="77777777">
            <w:pPr>
              <w:spacing w:before="100" w:beforeAutospacing="1" w:after="100" w:afterAutospacing="1"/>
              <w:jc w:val="center"/>
              <w:rPr>
                <w:rFonts w:eastAsia="Times New Roman" w:cs="Times New Roman"/>
                <w:szCs w:val="28"/>
                <w:lang w:eastAsia="lv-LV"/>
              </w:rPr>
            </w:pPr>
            <w:r w:rsidRPr="005154DA">
              <w:rPr>
                <w:rFonts w:eastAsia="Times New Roman" w:cs="Times New Roman"/>
                <w:szCs w:val="28"/>
                <w:lang w:eastAsia="lv-LV"/>
              </w:rPr>
              <w:t>3.</w:t>
            </w:r>
          </w:p>
        </w:tc>
        <w:tc>
          <w:tcPr>
            <w:tcW w:w="1338" w:type="pct"/>
            <w:tcBorders>
              <w:top w:val="outset" w:sz="6" w:space="0" w:color="auto"/>
              <w:left w:val="outset" w:sz="6" w:space="0" w:color="auto"/>
              <w:bottom w:val="outset" w:sz="6" w:space="0" w:color="auto"/>
              <w:right w:val="outset" w:sz="6" w:space="0" w:color="auto"/>
            </w:tcBorders>
            <w:hideMark/>
          </w:tcPr>
          <w:p w:rsidR="005A2ACB" w:rsidRPr="005154DA" w:rsidP="0011047A" w14:paraId="2F235BDD" w14:textId="77777777">
            <w:pPr>
              <w:ind w:left="82" w:right="97"/>
              <w:jc w:val="both"/>
              <w:rPr>
                <w:rFonts w:eastAsia="Times New Roman" w:cs="Times New Roman"/>
                <w:szCs w:val="28"/>
                <w:lang w:eastAsia="lv-LV"/>
              </w:rPr>
            </w:pPr>
            <w:r w:rsidRPr="005154DA">
              <w:rPr>
                <w:rFonts w:eastAsia="Times New Roman" w:cs="Times New Roman"/>
                <w:szCs w:val="28"/>
                <w:lang w:eastAsia="lv-LV"/>
              </w:rPr>
              <w:t>Projekta izstrādē iesaistītās institūcijas</w:t>
            </w:r>
          </w:p>
        </w:tc>
        <w:tc>
          <w:tcPr>
            <w:tcW w:w="3354" w:type="pct"/>
            <w:tcBorders>
              <w:top w:val="outset" w:sz="6" w:space="0" w:color="auto"/>
              <w:left w:val="outset" w:sz="6" w:space="0" w:color="auto"/>
              <w:bottom w:val="outset" w:sz="6" w:space="0" w:color="auto"/>
              <w:right w:val="outset" w:sz="6" w:space="0" w:color="auto"/>
            </w:tcBorders>
            <w:hideMark/>
          </w:tcPr>
          <w:p w:rsidR="005A2ACB" w:rsidRPr="005154DA" w:rsidP="00325E59" w14:paraId="7A87E720" w14:textId="193732BA">
            <w:pPr>
              <w:ind w:right="140"/>
              <w:jc w:val="both"/>
              <w:rPr>
                <w:rFonts w:eastAsia="Times New Roman" w:cs="Times New Roman"/>
                <w:szCs w:val="28"/>
                <w:lang w:eastAsia="lv-LV"/>
              </w:rPr>
            </w:pPr>
            <w:r w:rsidRPr="005154DA">
              <w:rPr>
                <w:rFonts w:eastAsia="Times New Roman" w:cs="Times New Roman"/>
                <w:szCs w:val="28"/>
                <w:lang w:eastAsia="lv-LV"/>
              </w:rPr>
              <w:t>Ekonomikas</w:t>
            </w:r>
            <w:r w:rsidRPr="005154DA" w:rsidR="000B4C1D">
              <w:rPr>
                <w:rFonts w:eastAsia="Times New Roman" w:cs="Times New Roman"/>
                <w:szCs w:val="28"/>
                <w:lang w:eastAsia="lv-LV"/>
              </w:rPr>
              <w:t xml:space="preserve"> ministrija</w:t>
            </w:r>
            <w:r w:rsidRPr="005154DA" w:rsidR="006C43E4">
              <w:rPr>
                <w:rFonts w:eastAsia="Times New Roman" w:cs="Times New Roman"/>
                <w:szCs w:val="28"/>
                <w:lang w:eastAsia="lv-LV"/>
              </w:rPr>
              <w:t xml:space="preserve">, </w:t>
            </w:r>
            <w:r w:rsidRPr="005154DA" w:rsidR="006C43E4">
              <w:rPr>
                <w:rFonts w:eastAsia="Times New Roman"/>
                <w:szCs w:val="24"/>
                <w:lang w:eastAsia="lv-LV"/>
              </w:rPr>
              <w:t>AS “</w:t>
            </w:r>
            <w:r w:rsidRPr="005154DA" w:rsidR="006C43E4">
              <w:rPr>
                <w:rFonts w:eastAsia="Times New Roman"/>
                <w:szCs w:val="24"/>
                <w:lang w:eastAsia="lv-LV"/>
              </w:rPr>
              <w:t>Inspecta</w:t>
            </w:r>
            <w:r w:rsidRPr="005154DA" w:rsidR="006C43E4">
              <w:rPr>
                <w:rFonts w:eastAsia="Times New Roman"/>
                <w:szCs w:val="24"/>
                <w:lang w:eastAsia="lv-LV"/>
              </w:rPr>
              <w:t xml:space="preserve"> Latvia”</w:t>
            </w:r>
            <w:r w:rsidR="000808B7">
              <w:rPr>
                <w:rFonts w:eastAsia="Times New Roman"/>
                <w:szCs w:val="24"/>
                <w:lang w:eastAsia="lv-LV"/>
              </w:rPr>
              <w:t xml:space="preserve"> un</w:t>
            </w:r>
            <w:r w:rsidRPr="005154DA" w:rsidR="006C43E4">
              <w:rPr>
                <w:rFonts w:eastAsia="Times New Roman"/>
                <w:szCs w:val="24"/>
                <w:lang w:eastAsia="lv-LV"/>
              </w:rPr>
              <w:t xml:space="preserve"> SIA “TUV Nord Latvija”</w:t>
            </w:r>
          </w:p>
        </w:tc>
      </w:tr>
      <w:tr w14:paraId="6B068485" w14:textId="77777777" w:rsidTr="009B5AF2">
        <w:tblPrEx>
          <w:tblW w:w="5000" w:type="pct"/>
          <w:tblCellSpacing w:w="15" w:type="dxa"/>
          <w:tblCellMar>
            <w:top w:w="30" w:type="dxa"/>
            <w:left w:w="30" w:type="dxa"/>
            <w:bottom w:w="30" w:type="dxa"/>
            <w:right w:w="30" w:type="dxa"/>
          </w:tblCellMar>
          <w:tblLook w:val="04A0"/>
        </w:tblPrEx>
        <w:trPr>
          <w:tblCellSpacing w:w="15" w:type="dxa"/>
        </w:trPr>
        <w:tc>
          <w:tcPr>
            <w:tcW w:w="241" w:type="pct"/>
            <w:tcBorders>
              <w:top w:val="outset" w:sz="6" w:space="0" w:color="auto"/>
              <w:left w:val="outset" w:sz="6" w:space="0" w:color="auto"/>
              <w:bottom w:val="outset" w:sz="6" w:space="0" w:color="auto"/>
              <w:right w:val="outset" w:sz="6" w:space="0" w:color="auto"/>
            </w:tcBorders>
            <w:hideMark/>
          </w:tcPr>
          <w:p w:rsidR="005A2ACB" w:rsidRPr="005154DA" w:rsidP="005A2ACB" w14:paraId="795225C2" w14:textId="77777777">
            <w:pPr>
              <w:spacing w:before="100" w:beforeAutospacing="1" w:after="100" w:afterAutospacing="1"/>
              <w:jc w:val="center"/>
              <w:rPr>
                <w:rFonts w:eastAsia="Times New Roman" w:cs="Times New Roman"/>
                <w:szCs w:val="28"/>
                <w:lang w:eastAsia="lv-LV"/>
              </w:rPr>
            </w:pPr>
            <w:r w:rsidRPr="005154DA">
              <w:rPr>
                <w:rFonts w:eastAsia="Times New Roman" w:cs="Times New Roman"/>
                <w:szCs w:val="28"/>
                <w:lang w:eastAsia="lv-LV"/>
              </w:rPr>
              <w:t>4.</w:t>
            </w:r>
          </w:p>
        </w:tc>
        <w:tc>
          <w:tcPr>
            <w:tcW w:w="1338" w:type="pct"/>
            <w:tcBorders>
              <w:top w:val="outset" w:sz="6" w:space="0" w:color="auto"/>
              <w:left w:val="outset" w:sz="6" w:space="0" w:color="auto"/>
              <w:bottom w:val="outset" w:sz="6" w:space="0" w:color="auto"/>
              <w:right w:val="outset" w:sz="6" w:space="0" w:color="auto"/>
            </w:tcBorders>
            <w:hideMark/>
          </w:tcPr>
          <w:p w:rsidR="005A2ACB" w:rsidRPr="005154DA" w:rsidP="0011047A" w14:paraId="5F7F7883" w14:textId="77777777">
            <w:pPr>
              <w:ind w:right="97"/>
              <w:jc w:val="both"/>
              <w:rPr>
                <w:rFonts w:eastAsia="Times New Roman" w:cs="Times New Roman"/>
                <w:szCs w:val="28"/>
                <w:lang w:eastAsia="lv-LV"/>
              </w:rPr>
            </w:pPr>
            <w:r w:rsidRPr="005154DA">
              <w:rPr>
                <w:rFonts w:eastAsia="Times New Roman" w:cs="Times New Roman"/>
                <w:szCs w:val="28"/>
                <w:lang w:eastAsia="lv-LV"/>
              </w:rPr>
              <w:t>Cita informācija</w:t>
            </w:r>
          </w:p>
        </w:tc>
        <w:tc>
          <w:tcPr>
            <w:tcW w:w="3354" w:type="pct"/>
            <w:tcBorders>
              <w:top w:val="outset" w:sz="6" w:space="0" w:color="auto"/>
              <w:left w:val="outset" w:sz="6" w:space="0" w:color="auto"/>
              <w:bottom w:val="outset" w:sz="6" w:space="0" w:color="auto"/>
              <w:right w:val="outset" w:sz="6" w:space="0" w:color="auto"/>
            </w:tcBorders>
            <w:hideMark/>
          </w:tcPr>
          <w:p w:rsidR="005A2ACB" w:rsidRPr="005154DA" w:rsidP="00325E59" w14:paraId="383F2F4E" w14:textId="77777777">
            <w:pPr>
              <w:spacing w:before="100" w:beforeAutospacing="1" w:after="100" w:afterAutospacing="1"/>
              <w:rPr>
                <w:rFonts w:eastAsia="Times New Roman" w:cs="Times New Roman"/>
                <w:szCs w:val="28"/>
                <w:lang w:eastAsia="lv-LV"/>
              </w:rPr>
            </w:pPr>
            <w:r w:rsidRPr="005154DA">
              <w:rPr>
                <w:rFonts w:eastAsia="Times New Roman" w:cs="Times New Roman"/>
                <w:szCs w:val="28"/>
                <w:lang w:eastAsia="lv-LV"/>
              </w:rPr>
              <w:t>Nav</w:t>
            </w:r>
          </w:p>
        </w:tc>
      </w:tr>
    </w:tbl>
    <w:p w:rsidR="005A2ACB" w:rsidRPr="005154DA" w:rsidP="00EA086E" w14:paraId="7416E391" w14:textId="77777777">
      <w:pPr>
        <w:rPr>
          <w:rFonts w:eastAsia="Times New Roman" w:cs="Times New Roman"/>
          <w:szCs w:val="28"/>
          <w:lang w:eastAsia="lv-LV"/>
        </w:rPr>
      </w:pPr>
      <w:r w:rsidRPr="005154DA">
        <w:rPr>
          <w:rFonts w:eastAsia="Times New Roman" w:cs="Times New Roman"/>
          <w:szCs w:val="28"/>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92"/>
        <w:gridCol w:w="2800"/>
        <w:gridCol w:w="5763"/>
      </w:tblGrid>
      <w:tr w14:paraId="032042B8" w14:textId="77777777" w:rsidTr="005A2ACB">
        <w:tblPrEx>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Ex>
        <w:trPr>
          <w:trHeight w:val="555"/>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A2ACB" w:rsidRPr="005154DA" w:rsidP="005A2ACB" w14:paraId="2D251841" w14:textId="77777777">
            <w:pPr>
              <w:spacing w:before="100" w:beforeAutospacing="1" w:after="100" w:afterAutospacing="1"/>
              <w:jc w:val="center"/>
              <w:rPr>
                <w:rFonts w:eastAsia="Times New Roman" w:cs="Times New Roman"/>
                <w:b/>
                <w:bCs/>
                <w:szCs w:val="28"/>
                <w:lang w:eastAsia="lv-LV"/>
              </w:rPr>
            </w:pPr>
            <w:r w:rsidRPr="005154DA">
              <w:rPr>
                <w:rFonts w:eastAsia="Times New Roman" w:cs="Times New Roman"/>
                <w:b/>
                <w:bCs/>
                <w:szCs w:val="28"/>
                <w:lang w:eastAsia="lv-LV"/>
              </w:rPr>
              <w:t>II. Tiesību akta projekta ietekme uz sabiedrību, tautsaimniecības attīstību un administratīvo slogu</w:t>
            </w:r>
          </w:p>
        </w:tc>
      </w:tr>
      <w:tr w14:paraId="33C3FD44" w14:textId="77777777" w:rsidTr="005A2ACB">
        <w:tblPrEx>
          <w:tblW w:w="5000" w:type="pct"/>
          <w:tblCellSpacing w:w="15" w:type="dxa"/>
          <w:tblCellMar>
            <w:top w:w="30" w:type="dxa"/>
            <w:left w:w="30" w:type="dxa"/>
            <w:bottom w:w="30" w:type="dxa"/>
            <w:right w:w="30" w:type="dxa"/>
          </w:tblCellMar>
          <w:tblLook w:val="04A0"/>
        </w:tblPrEx>
        <w:trPr>
          <w:trHeight w:val="465"/>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5A2ACB" w:rsidRPr="005154DA" w:rsidP="003B2C2B" w14:paraId="07AC3CCD" w14:textId="77777777">
            <w:pPr>
              <w:jc w:val="center"/>
              <w:rPr>
                <w:rFonts w:eastAsia="Times New Roman" w:cs="Times New Roman"/>
                <w:szCs w:val="28"/>
                <w:lang w:eastAsia="lv-LV"/>
              </w:rPr>
            </w:pPr>
            <w:r w:rsidRPr="005154DA">
              <w:rPr>
                <w:rFonts w:eastAsia="Times New Roman" w:cs="Times New Roman"/>
                <w:szCs w:val="28"/>
                <w:lang w:eastAsia="lv-LV"/>
              </w:rPr>
              <w:t>1.</w:t>
            </w:r>
          </w:p>
        </w:tc>
        <w:tc>
          <w:tcPr>
            <w:tcW w:w="1550" w:type="pct"/>
            <w:tcBorders>
              <w:top w:val="outset" w:sz="6" w:space="0" w:color="auto"/>
              <w:left w:val="outset" w:sz="6" w:space="0" w:color="auto"/>
              <w:bottom w:val="outset" w:sz="6" w:space="0" w:color="auto"/>
              <w:right w:val="outset" w:sz="6" w:space="0" w:color="auto"/>
            </w:tcBorders>
            <w:hideMark/>
          </w:tcPr>
          <w:p w:rsidR="005A2ACB" w:rsidRPr="005154DA" w:rsidP="0011047A" w14:paraId="75A5418A" w14:textId="77777777">
            <w:pPr>
              <w:ind w:left="82" w:right="97"/>
              <w:jc w:val="both"/>
              <w:rPr>
                <w:rFonts w:eastAsia="Times New Roman" w:cs="Times New Roman"/>
                <w:szCs w:val="28"/>
                <w:lang w:eastAsia="lv-LV"/>
              </w:rPr>
            </w:pPr>
            <w:r w:rsidRPr="005154DA">
              <w:rPr>
                <w:rFonts w:eastAsia="Times New Roman" w:cs="Times New Roman"/>
                <w:szCs w:val="28"/>
                <w:lang w:eastAsia="lv-LV"/>
              </w:rPr>
              <w:t xml:space="preserve">Sabiedrības </w:t>
            </w:r>
            <w:r w:rsidRPr="005154DA">
              <w:rPr>
                <w:rFonts w:eastAsia="Times New Roman" w:cs="Times New Roman"/>
                <w:szCs w:val="28"/>
                <w:lang w:eastAsia="lv-LV"/>
              </w:rPr>
              <w:t>mērķgrupas</w:t>
            </w:r>
            <w:r w:rsidRPr="005154DA">
              <w:rPr>
                <w:rFonts w:eastAsia="Times New Roman" w:cs="Times New Roman"/>
                <w:szCs w:val="28"/>
                <w:lang w:eastAsia="lv-LV"/>
              </w:rPr>
              <w:t>, kuras tiesiskais regulējums ietekmē vai varētu ietekmēt</w:t>
            </w:r>
          </w:p>
        </w:tc>
        <w:tc>
          <w:tcPr>
            <w:tcW w:w="3200" w:type="pct"/>
            <w:tcBorders>
              <w:top w:val="outset" w:sz="6" w:space="0" w:color="auto"/>
              <w:left w:val="outset" w:sz="6" w:space="0" w:color="auto"/>
              <w:bottom w:val="outset" w:sz="6" w:space="0" w:color="auto"/>
              <w:right w:val="outset" w:sz="6" w:space="0" w:color="auto"/>
            </w:tcBorders>
            <w:hideMark/>
          </w:tcPr>
          <w:p w:rsidR="00281A90" w:rsidRPr="005154DA" w:rsidP="00FD7A1A" w14:paraId="5FD03D63" w14:textId="77777777">
            <w:pPr>
              <w:jc w:val="both"/>
              <w:rPr>
                <w:rFonts w:eastAsia="Times New Roman"/>
                <w:szCs w:val="24"/>
                <w:lang w:eastAsia="lv-LV"/>
              </w:rPr>
            </w:pPr>
            <w:r w:rsidRPr="005154DA">
              <w:rPr>
                <w:rFonts w:cs="Times New Roman"/>
                <w:iCs/>
                <w:szCs w:val="28"/>
              </w:rPr>
              <w:t>Noteikumu projekta tiesiskais regulējums attiecas uz</w:t>
            </w:r>
            <w:r w:rsidRPr="005154DA" w:rsidR="00FD7A1A">
              <w:rPr>
                <w:rFonts w:cs="Times New Roman"/>
                <w:iCs/>
                <w:szCs w:val="28"/>
              </w:rPr>
              <w:t>:</w:t>
            </w:r>
            <w:r w:rsidRPr="005154DA">
              <w:rPr>
                <w:rFonts w:cs="Times New Roman"/>
                <w:iCs/>
                <w:szCs w:val="28"/>
              </w:rPr>
              <w:t xml:space="preserve"> </w:t>
            </w:r>
          </w:p>
          <w:p w:rsidR="00FD7A1A" w:rsidRPr="005154DA" w:rsidP="00FD7A1A" w14:paraId="52CFF008" w14:textId="24FD17B9">
            <w:pPr>
              <w:jc w:val="both"/>
              <w:rPr>
                <w:rFonts w:eastAsia="Times New Roman"/>
                <w:szCs w:val="24"/>
                <w:lang w:eastAsia="lv-LV"/>
              </w:rPr>
            </w:pPr>
            <w:r w:rsidRPr="005154DA">
              <w:rPr>
                <w:rFonts w:eastAsia="Times New Roman"/>
                <w:szCs w:val="24"/>
                <w:lang w:eastAsia="lv-LV"/>
              </w:rPr>
              <w:t>1)Lielajiem uzņēmumiem un lielajiem elektroenerģijas patērētājiem;</w:t>
            </w:r>
          </w:p>
          <w:p w:rsidR="00FD7A1A" w:rsidRPr="005154DA" w:rsidP="00FD7A1A" w14:paraId="0E38406C" w14:textId="640FA4FF">
            <w:pPr>
              <w:jc w:val="both"/>
              <w:rPr>
                <w:rFonts w:eastAsia="Times New Roman"/>
                <w:szCs w:val="24"/>
                <w:lang w:eastAsia="lv-LV"/>
              </w:rPr>
            </w:pPr>
            <w:r w:rsidRPr="005154DA">
              <w:rPr>
                <w:rFonts w:eastAsia="Times New Roman"/>
                <w:szCs w:val="24"/>
                <w:lang w:eastAsia="lv-LV"/>
              </w:rPr>
              <w:t xml:space="preserve">2)Uzņēmumiem, kuriem </w:t>
            </w:r>
            <w:r w:rsidRPr="005154DA">
              <w:rPr>
                <w:rFonts w:eastAsia="Times New Roman"/>
                <w:szCs w:val="24"/>
                <w:lang w:eastAsia="lv-LV"/>
              </w:rPr>
              <w:t>energoaudits</w:t>
            </w:r>
            <w:r w:rsidRPr="005154DA">
              <w:rPr>
                <w:rFonts w:eastAsia="Times New Roman"/>
                <w:szCs w:val="24"/>
                <w:lang w:eastAsia="lv-LV"/>
              </w:rPr>
              <w:t xml:space="preserve"> ir nosacījums dalībai valsts atbalsta programmās;</w:t>
            </w:r>
          </w:p>
          <w:p w:rsidR="00F40E03" w:rsidRPr="005154DA" w:rsidP="002B53AA" w14:paraId="1F0C16B9" w14:textId="4D5671B5">
            <w:pPr>
              <w:jc w:val="both"/>
              <w:rPr>
                <w:rFonts w:eastAsia="Times New Roman"/>
                <w:szCs w:val="24"/>
                <w:lang w:eastAsia="lv-LV"/>
              </w:rPr>
            </w:pPr>
            <w:r w:rsidRPr="005154DA">
              <w:rPr>
                <w:rFonts w:eastAsia="Times New Roman"/>
                <w:szCs w:val="24"/>
                <w:lang w:eastAsia="lv-LV"/>
              </w:rPr>
              <w:t>3)Neatkarīgiem ekspertiem ēku energoefektivitātes jomā</w:t>
            </w:r>
            <w:r w:rsidRPr="005154DA">
              <w:rPr>
                <w:rFonts w:eastAsia="Times New Roman"/>
                <w:szCs w:val="24"/>
                <w:lang w:eastAsia="lv-LV"/>
              </w:rPr>
              <w:t>;</w:t>
            </w:r>
          </w:p>
          <w:p w:rsidR="007F71CA" w:rsidRPr="005154DA" w:rsidP="002B53AA" w14:paraId="2DD0867C" w14:textId="77777777">
            <w:pPr>
              <w:jc w:val="both"/>
              <w:rPr>
                <w:rFonts w:eastAsia="Times New Roman"/>
                <w:szCs w:val="24"/>
                <w:lang w:eastAsia="lv-LV"/>
              </w:rPr>
            </w:pPr>
            <w:r w:rsidRPr="005154DA">
              <w:rPr>
                <w:rFonts w:eastAsia="Times New Roman"/>
                <w:szCs w:val="24"/>
                <w:lang w:eastAsia="lv-LV"/>
              </w:rPr>
              <w:t>4)U</w:t>
            </w:r>
            <w:r w:rsidRPr="005154DA" w:rsidR="00F40E03">
              <w:rPr>
                <w:rFonts w:eastAsia="Times New Roman"/>
                <w:szCs w:val="24"/>
                <w:lang w:eastAsia="lv-LV"/>
              </w:rPr>
              <w:t xml:space="preserve">zņēmumu </w:t>
            </w:r>
            <w:r w:rsidRPr="005154DA" w:rsidR="00F40E03">
              <w:rPr>
                <w:rFonts w:eastAsia="Times New Roman"/>
                <w:szCs w:val="24"/>
                <w:lang w:eastAsia="lv-LV"/>
              </w:rPr>
              <w:t>energoauditoriem</w:t>
            </w:r>
            <w:r w:rsidRPr="005154DA" w:rsidR="00F40E03">
              <w:rPr>
                <w:rFonts w:eastAsia="Times New Roman"/>
                <w:szCs w:val="24"/>
                <w:lang w:eastAsia="lv-LV"/>
              </w:rPr>
              <w:t>.</w:t>
            </w:r>
          </w:p>
        </w:tc>
      </w:tr>
      <w:tr w14:paraId="4A39667C" w14:textId="77777777" w:rsidTr="005A2ACB">
        <w:tblPrEx>
          <w:tblW w:w="5000" w:type="pct"/>
          <w:tblCellSpacing w:w="15" w:type="dxa"/>
          <w:tblCellMar>
            <w:top w:w="30" w:type="dxa"/>
            <w:left w:w="30" w:type="dxa"/>
            <w:bottom w:w="30" w:type="dxa"/>
            <w:right w:w="30" w:type="dxa"/>
          </w:tblCellMar>
          <w:tblLook w:val="04A0"/>
        </w:tblPrEx>
        <w:trPr>
          <w:trHeight w:val="510"/>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5A2ACB" w:rsidRPr="005154DA" w:rsidP="003B2C2B" w14:paraId="00D7F8B7" w14:textId="77777777">
            <w:pPr>
              <w:jc w:val="center"/>
              <w:rPr>
                <w:rFonts w:eastAsia="Times New Roman" w:cs="Times New Roman"/>
                <w:szCs w:val="28"/>
                <w:lang w:eastAsia="lv-LV"/>
              </w:rPr>
            </w:pPr>
            <w:r w:rsidRPr="005154DA">
              <w:rPr>
                <w:rFonts w:eastAsia="Times New Roman" w:cs="Times New Roman"/>
                <w:szCs w:val="28"/>
                <w:lang w:eastAsia="lv-LV"/>
              </w:rPr>
              <w:t>2.</w:t>
            </w:r>
          </w:p>
        </w:tc>
        <w:tc>
          <w:tcPr>
            <w:tcW w:w="1550" w:type="pct"/>
            <w:tcBorders>
              <w:top w:val="outset" w:sz="6" w:space="0" w:color="auto"/>
              <w:left w:val="outset" w:sz="6" w:space="0" w:color="auto"/>
              <w:bottom w:val="outset" w:sz="6" w:space="0" w:color="auto"/>
              <w:right w:val="outset" w:sz="6" w:space="0" w:color="auto"/>
            </w:tcBorders>
            <w:hideMark/>
          </w:tcPr>
          <w:p w:rsidR="005A2ACB" w:rsidRPr="005154DA" w:rsidP="0011047A" w14:paraId="786D443E" w14:textId="77777777">
            <w:pPr>
              <w:ind w:left="82" w:right="97"/>
              <w:jc w:val="both"/>
              <w:rPr>
                <w:rFonts w:eastAsia="Times New Roman" w:cs="Times New Roman"/>
                <w:szCs w:val="28"/>
                <w:lang w:eastAsia="lv-LV"/>
              </w:rPr>
            </w:pPr>
            <w:r w:rsidRPr="005154DA">
              <w:rPr>
                <w:rFonts w:eastAsia="Times New Roman" w:cs="Times New Roman"/>
                <w:szCs w:val="28"/>
                <w:lang w:eastAsia="lv-LV"/>
              </w:rPr>
              <w:t>Tiesiskā regulējuma ietekme uz tautsaimniecību un administratīvo slogu</w:t>
            </w:r>
          </w:p>
        </w:tc>
        <w:tc>
          <w:tcPr>
            <w:tcW w:w="3200" w:type="pct"/>
            <w:tcBorders>
              <w:top w:val="outset" w:sz="6" w:space="0" w:color="auto"/>
              <w:left w:val="outset" w:sz="6" w:space="0" w:color="auto"/>
              <w:bottom w:val="outset" w:sz="6" w:space="0" w:color="auto"/>
              <w:right w:val="outset" w:sz="6" w:space="0" w:color="auto"/>
            </w:tcBorders>
            <w:hideMark/>
          </w:tcPr>
          <w:p w:rsidR="00F40E03" w:rsidRPr="005154DA" w:rsidP="00F40E03" w14:paraId="12DFEE78" w14:textId="7A2111C9">
            <w:pPr>
              <w:jc w:val="both"/>
              <w:rPr>
                <w:szCs w:val="28"/>
              </w:rPr>
            </w:pPr>
            <w:r w:rsidRPr="005154DA">
              <w:rPr>
                <w:rFonts w:eastAsia="Times New Roman" w:cs="Times New Roman"/>
                <w:iCs/>
                <w:szCs w:val="28"/>
                <w:lang w:eastAsia="lv-LV"/>
              </w:rPr>
              <w:t xml:space="preserve">Ar grozījumiem </w:t>
            </w:r>
            <w:r w:rsidRPr="005154DA" w:rsidR="003F551B">
              <w:rPr>
                <w:rFonts w:eastAsia="Times New Roman" w:cs="Times New Roman"/>
                <w:iCs/>
                <w:szCs w:val="28"/>
                <w:lang w:eastAsia="lv-LV"/>
              </w:rPr>
              <w:t>ne</w:t>
            </w:r>
            <w:r w:rsidRPr="005154DA">
              <w:rPr>
                <w:rFonts w:eastAsia="Times New Roman" w:cs="Times New Roman"/>
                <w:iCs/>
                <w:szCs w:val="28"/>
                <w:lang w:eastAsia="lv-LV"/>
              </w:rPr>
              <w:t xml:space="preserve">tiks </w:t>
            </w:r>
            <w:r w:rsidRPr="005154DA" w:rsidR="00444365">
              <w:rPr>
                <w:rFonts w:eastAsia="Times New Roman" w:cs="Times New Roman"/>
                <w:iCs/>
                <w:szCs w:val="28"/>
                <w:lang w:eastAsia="lv-LV"/>
              </w:rPr>
              <w:t>paaugstināts</w:t>
            </w:r>
            <w:r w:rsidRPr="005154DA" w:rsidR="003F551B">
              <w:rPr>
                <w:rFonts w:eastAsia="Times New Roman" w:cs="Times New Roman"/>
                <w:iCs/>
                <w:szCs w:val="28"/>
                <w:lang w:eastAsia="lv-LV"/>
              </w:rPr>
              <w:t xml:space="preserve"> administratīvais slogs.</w:t>
            </w:r>
            <w:r w:rsidRPr="005154DA">
              <w:rPr>
                <w:szCs w:val="24"/>
              </w:rPr>
              <w:t xml:space="preserve"> Noteikumu projekta mērķis ir nodrošināt kvalitatīvu un rentablu uzņēmumu </w:t>
            </w:r>
            <w:r w:rsidRPr="005154DA">
              <w:rPr>
                <w:szCs w:val="24"/>
              </w:rPr>
              <w:t>energoauditu</w:t>
            </w:r>
            <w:r w:rsidRPr="005154DA">
              <w:rPr>
                <w:szCs w:val="24"/>
              </w:rPr>
              <w:t xml:space="preserve"> veikšanu gadījumos, kad  uzņēmums veic savu darbību ēkās, un tā nav saistīta ar </w:t>
            </w:r>
            <w:r w:rsidRPr="005154DA">
              <w:rPr>
                <w:szCs w:val="28"/>
              </w:rPr>
              <w:t xml:space="preserve">ražošanas procesu nodrošināšanu.  </w:t>
            </w:r>
          </w:p>
          <w:p w:rsidR="00F40E03" w:rsidRPr="005154DA" w:rsidP="000808B7" w14:paraId="3D93C8B9" w14:textId="236EA724">
            <w:pPr>
              <w:ind w:right="140"/>
              <w:jc w:val="both"/>
              <w:rPr>
                <w:szCs w:val="28"/>
              </w:rPr>
            </w:pPr>
            <w:r w:rsidRPr="005154DA">
              <w:rPr>
                <w:rFonts w:eastAsia="Times New Roman"/>
                <w:szCs w:val="24"/>
                <w:lang w:eastAsia="lv-LV"/>
              </w:rPr>
              <w:t xml:space="preserve">Noteikumu projekta </w:t>
            </w:r>
            <w:r w:rsidRPr="005154DA">
              <w:rPr>
                <w:szCs w:val="24"/>
              </w:rPr>
              <w:t>ieviešanas rezultātā tiks</w:t>
            </w:r>
            <w:r w:rsidRPr="005154DA">
              <w:rPr>
                <w:szCs w:val="24"/>
              </w:rPr>
              <w:t xml:space="preserve"> sakārtots jautājums par kvalitatīvu un rentablu uzņēmumu </w:t>
            </w:r>
            <w:r w:rsidRPr="005154DA">
              <w:rPr>
                <w:szCs w:val="24"/>
              </w:rPr>
              <w:t>energoauditu</w:t>
            </w:r>
            <w:r w:rsidRPr="005154DA">
              <w:rPr>
                <w:szCs w:val="24"/>
              </w:rPr>
              <w:t xml:space="preserve"> veikšanu </w:t>
            </w:r>
            <w:r w:rsidRPr="005154DA">
              <w:rPr>
                <w:szCs w:val="28"/>
              </w:rPr>
              <w:t xml:space="preserve">un līdz ar to sekmēta lielo uzņēmumu un lielo elektroenerģijas patērētāju obligāto </w:t>
            </w:r>
            <w:r w:rsidRPr="005154DA">
              <w:rPr>
                <w:szCs w:val="28"/>
              </w:rPr>
              <w:t>energoauditu</w:t>
            </w:r>
            <w:r w:rsidRPr="005154DA">
              <w:rPr>
                <w:szCs w:val="28"/>
              </w:rPr>
              <w:t xml:space="preserve"> kvalitāte.</w:t>
            </w:r>
          </w:p>
          <w:p w:rsidR="00F40E03" w:rsidRPr="005154DA" w:rsidP="002B53AA" w14:paraId="69883C64" w14:textId="77777777">
            <w:pPr>
              <w:jc w:val="both"/>
              <w:rPr>
                <w:szCs w:val="28"/>
              </w:rPr>
            </w:pPr>
          </w:p>
          <w:p w:rsidR="00FE558C" w:rsidRPr="005154DA" w:rsidP="002B53AA" w14:paraId="504A3754" w14:textId="5BC5EA41">
            <w:pPr>
              <w:jc w:val="both"/>
              <w:rPr>
                <w:rFonts w:eastAsia="Times New Roman" w:cs="Times New Roman"/>
                <w:szCs w:val="28"/>
                <w:lang w:eastAsia="lv-LV"/>
              </w:rPr>
            </w:pPr>
            <w:r w:rsidRPr="005154DA">
              <w:rPr>
                <w:szCs w:val="24"/>
              </w:rPr>
              <w:t>Sakārtojot minēto jautājumu, tiks</w:t>
            </w:r>
            <w:r w:rsidRPr="005154DA" w:rsidR="004A2C6C">
              <w:rPr>
                <w:szCs w:val="24"/>
              </w:rPr>
              <w:t xml:space="preserve"> sekmēta </w:t>
            </w:r>
            <w:r w:rsidRPr="005154DA" w:rsidR="00444365">
              <w:rPr>
                <w:szCs w:val="24"/>
              </w:rPr>
              <w:t>Latvijas Nacionālajā attīstības plānā (turpmāk – Plāns) noteikto mērķu izpilde.</w:t>
            </w:r>
            <w:r w:rsidRPr="005154DA" w:rsidR="003F551B">
              <w:rPr>
                <w:szCs w:val="24"/>
              </w:rPr>
              <w:t xml:space="preserve"> </w:t>
            </w:r>
            <w:r w:rsidRPr="005154DA" w:rsidR="003F551B">
              <w:t>Plān</w:t>
            </w:r>
            <w:r w:rsidRPr="005154DA" w:rsidR="00444365">
              <w:t>a</w:t>
            </w:r>
            <w:r w:rsidRPr="005154DA" w:rsidR="003F551B">
              <w:t xml:space="preserve">  </w:t>
            </w:r>
            <w:r w:rsidRPr="005154DA" w:rsidR="004A2C6C">
              <w:t>r</w:t>
            </w:r>
            <w:r w:rsidRPr="005154DA" w:rsidR="003F551B">
              <w:t xml:space="preserve">īcības virzienā </w:t>
            </w:r>
            <w:r w:rsidRPr="005154DA" w:rsidR="00281A90">
              <w:t>“</w:t>
            </w:r>
            <w:r w:rsidRPr="005154DA" w:rsidR="003F551B">
              <w:t>Energoefektivitāte un enerģijas ražošana</w:t>
            </w:r>
            <w:r w:rsidRPr="005154DA" w:rsidR="00281A90">
              <w:t>”</w:t>
            </w:r>
            <w:r w:rsidRPr="005154DA" w:rsidR="003F551B">
              <w:t xml:space="preserve"> norādīts, ka energoefektivitātes </w:t>
            </w:r>
            <w:r w:rsidRPr="005154DA" w:rsidR="006028A9">
              <w:t>uzlabošana</w:t>
            </w:r>
            <w:r w:rsidRPr="005154DA" w:rsidR="003F551B">
              <w:t xml:space="preserve"> primāri ir būtiska ražojošajā sektorā un kā viens no </w:t>
            </w:r>
            <w:r w:rsidRPr="005154DA" w:rsidR="003F551B">
              <w:rPr>
                <w:szCs w:val="24"/>
              </w:rPr>
              <w:t xml:space="preserve">Plāna mērķu sasniegšanas rādītājiem ir norādīts </w:t>
            </w:r>
            <w:r w:rsidRPr="005154DA" w:rsidR="006028A9">
              <w:t>e</w:t>
            </w:r>
            <w:r w:rsidRPr="005154DA" w:rsidR="003F551B">
              <w:t>nerģijas patēriņa</w:t>
            </w:r>
            <w:r w:rsidRPr="005154DA">
              <w:t xml:space="preserve"> </w:t>
            </w:r>
            <w:r w:rsidR="000808B7">
              <w:t xml:space="preserve">samazinājums </w:t>
            </w:r>
            <w:r w:rsidRPr="005154DA">
              <w:t>iekšzemes kopprodukta radīšanai</w:t>
            </w:r>
            <w:r w:rsidRPr="005154DA" w:rsidR="00444365">
              <w:t>, kas sekmēs primārās enerģijas patēriņa samazināšanos.</w:t>
            </w:r>
          </w:p>
        </w:tc>
      </w:tr>
      <w:tr w14:paraId="456FE202" w14:textId="77777777" w:rsidTr="005A2ACB">
        <w:tblPrEx>
          <w:tblW w:w="5000" w:type="pct"/>
          <w:tblCellSpacing w:w="15" w:type="dxa"/>
          <w:tblCellMar>
            <w:top w:w="30" w:type="dxa"/>
            <w:left w:w="30" w:type="dxa"/>
            <w:bottom w:w="30" w:type="dxa"/>
            <w:right w:w="30" w:type="dxa"/>
          </w:tblCellMar>
          <w:tblLook w:val="04A0"/>
        </w:tblPrEx>
        <w:trPr>
          <w:trHeight w:val="510"/>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5A2ACB" w:rsidRPr="005154DA" w:rsidP="003B2C2B" w14:paraId="171D7C24" w14:textId="77777777">
            <w:pPr>
              <w:jc w:val="center"/>
              <w:rPr>
                <w:rFonts w:eastAsia="Times New Roman" w:cs="Times New Roman"/>
                <w:szCs w:val="28"/>
                <w:lang w:eastAsia="lv-LV"/>
              </w:rPr>
            </w:pPr>
            <w:r w:rsidRPr="005154DA">
              <w:rPr>
                <w:rFonts w:eastAsia="Times New Roman" w:cs="Times New Roman"/>
                <w:szCs w:val="28"/>
                <w:lang w:eastAsia="lv-LV"/>
              </w:rPr>
              <w:t>3.</w:t>
            </w:r>
          </w:p>
        </w:tc>
        <w:tc>
          <w:tcPr>
            <w:tcW w:w="1550" w:type="pct"/>
            <w:tcBorders>
              <w:top w:val="outset" w:sz="6" w:space="0" w:color="auto"/>
              <w:left w:val="outset" w:sz="6" w:space="0" w:color="auto"/>
              <w:bottom w:val="outset" w:sz="6" w:space="0" w:color="auto"/>
              <w:right w:val="outset" w:sz="6" w:space="0" w:color="auto"/>
            </w:tcBorders>
            <w:hideMark/>
          </w:tcPr>
          <w:p w:rsidR="005A2ACB" w:rsidRPr="005154DA" w:rsidP="0011047A" w14:paraId="6130236E" w14:textId="77777777">
            <w:pPr>
              <w:ind w:left="82" w:right="97"/>
              <w:jc w:val="both"/>
              <w:rPr>
                <w:rFonts w:eastAsia="Times New Roman" w:cs="Times New Roman"/>
                <w:szCs w:val="28"/>
                <w:lang w:eastAsia="lv-LV"/>
              </w:rPr>
            </w:pPr>
            <w:r w:rsidRPr="005154DA">
              <w:rPr>
                <w:rFonts w:eastAsia="Times New Roman" w:cs="Times New Roman"/>
                <w:szCs w:val="28"/>
                <w:lang w:eastAsia="lv-LV"/>
              </w:rPr>
              <w:t>Administratīvo izmaksu monetārs novērtējums</w:t>
            </w:r>
          </w:p>
        </w:tc>
        <w:tc>
          <w:tcPr>
            <w:tcW w:w="3200" w:type="pct"/>
            <w:tcBorders>
              <w:top w:val="outset" w:sz="6" w:space="0" w:color="auto"/>
              <w:left w:val="outset" w:sz="6" w:space="0" w:color="auto"/>
              <w:bottom w:val="outset" w:sz="6" w:space="0" w:color="auto"/>
              <w:right w:val="outset" w:sz="6" w:space="0" w:color="auto"/>
            </w:tcBorders>
            <w:hideMark/>
          </w:tcPr>
          <w:p w:rsidR="005A2ACB" w:rsidRPr="005154DA" w:rsidP="000808B7" w14:paraId="0ECC0F33" w14:textId="77777777">
            <w:pPr>
              <w:ind w:right="140"/>
              <w:jc w:val="both"/>
              <w:rPr>
                <w:rFonts w:eastAsia="Times New Roman" w:cs="Times New Roman"/>
                <w:szCs w:val="28"/>
                <w:lang w:eastAsia="lv-LV"/>
              </w:rPr>
            </w:pPr>
            <w:r w:rsidRPr="005154DA">
              <w:rPr>
                <w:rFonts w:eastAsia="Times New Roman" w:cs="Times New Roman"/>
                <w:szCs w:val="28"/>
                <w:lang w:eastAsia="lv-LV"/>
              </w:rPr>
              <w:t>Projekts šo jomu neskar.</w:t>
            </w:r>
          </w:p>
        </w:tc>
      </w:tr>
      <w:tr w14:paraId="36C8B7CC" w14:textId="77777777" w:rsidTr="005A2ACB">
        <w:tblPrEx>
          <w:tblW w:w="5000" w:type="pct"/>
          <w:tblCellSpacing w:w="15" w:type="dxa"/>
          <w:tblCellMar>
            <w:top w:w="30" w:type="dxa"/>
            <w:left w:w="30" w:type="dxa"/>
            <w:bottom w:w="30" w:type="dxa"/>
            <w:right w:w="30" w:type="dxa"/>
          </w:tblCellMar>
          <w:tblLook w:val="04A0"/>
        </w:tblPrEx>
        <w:trPr>
          <w:trHeight w:val="345"/>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5A2ACB" w:rsidRPr="005154DA" w:rsidP="003B2C2B" w14:paraId="703E2F54" w14:textId="77777777">
            <w:pPr>
              <w:jc w:val="center"/>
              <w:rPr>
                <w:rFonts w:eastAsia="Times New Roman" w:cs="Times New Roman"/>
                <w:szCs w:val="28"/>
                <w:lang w:eastAsia="lv-LV"/>
              </w:rPr>
            </w:pPr>
            <w:r w:rsidRPr="005154DA">
              <w:rPr>
                <w:rFonts w:eastAsia="Times New Roman" w:cs="Times New Roman"/>
                <w:szCs w:val="28"/>
                <w:lang w:eastAsia="lv-LV"/>
              </w:rPr>
              <w:t>4.</w:t>
            </w:r>
          </w:p>
        </w:tc>
        <w:tc>
          <w:tcPr>
            <w:tcW w:w="1550" w:type="pct"/>
            <w:tcBorders>
              <w:top w:val="outset" w:sz="6" w:space="0" w:color="auto"/>
              <w:left w:val="outset" w:sz="6" w:space="0" w:color="auto"/>
              <w:bottom w:val="outset" w:sz="6" w:space="0" w:color="auto"/>
              <w:right w:val="outset" w:sz="6" w:space="0" w:color="auto"/>
            </w:tcBorders>
            <w:hideMark/>
          </w:tcPr>
          <w:p w:rsidR="005A2ACB" w:rsidRPr="005154DA" w:rsidP="0011047A" w14:paraId="1CAAAA18" w14:textId="77777777">
            <w:pPr>
              <w:ind w:right="97"/>
              <w:jc w:val="both"/>
              <w:rPr>
                <w:rFonts w:eastAsia="Times New Roman" w:cs="Times New Roman"/>
                <w:szCs w:val="28"/>
                <w:lang w:eastAsia="lv-LV"/>
              </w:rPr>
            </w:pPr>
            <w:r w:rsidRPr="005154DA">
              <w:rPr>
                <w:rFonts w:eastAsia="Times New Roman" w:cs="Times New Roman"/>
                <w:szCs w:val="28"/>
                <w:lang w:eastAsia="lv-LV"/>
              </w:rPr>
              <w:t>Cita informācija</w:t>
            </w:r>
          </w:p>
        </w:tc>
        <w:tc>
          <w:tcPr>
            <w:tcW w:w="3200" w:type="pct"/>
            <w:tcBorders>
              <w:top w:val="outset" w:sz="6" w:space="0" w:color="auto"/>
              <w:left w:val="outset" w:sz="6" w:space="0" w:color="auto"/>
              <w:bottom w:val="outset" w:sz="6" w:space="0" w:color="auto"/>
              <w:right w:val="outset" w:sz="6" w:space="0" w:color="auto"/>
            </w:tcBorders>
            <w:hideMark/>
          </w:tcPr>
          <w:p w:rsidR="005A2ACB" w:rsidRPr="005154DA" w:rsidP="003B2C2B" w14:paraId="5A4C28DE" w14:textId="77777777">
            <w:pPr>
              <w:spacing w:before="100" w:beforeAutospacing="1" w:after="100" w:afterAutospacing="1"/>
              <w:ind w:left="208" w:right="140" w:firstLine="284"/>
              <w:jc w:val="both"/>
              <w:rPr>
                <w:rFonts w:eastAsia="Times New Roman" w:cs="Times New Roman"/>
                <w:szCs w:val="28"/>
                <w:lang w:eastAsia="lv-LV"/>
              </w:rPr>
            </w:pPr>
            <w:r w:rsidRPr="005154DA">
              <w:rPr>
                <w:rFonts w:eastAsia="Times New Roman" w:cs="Times New Roman"/>
                <w:szCs w:val="28"/>
                <w:lang w:eastAsia="lv-LV"/>
              </w:rPr>
              <w:t>Nav</w:t>
            </w:r>
          </w:p>
        </w:tc>
      </w:tr>
    </w:tbl>
    <w:p w:rsidR="005A2ACB" w:rsidRPr="005154DA" w:rsidP="00EA086E" w14:paraId="4D3FDD35" w14:textId="77777777">
      <w:pPr>
        <w:rPr>
          <w:rFonts w:eastAsia="Times New Roman" w:cs="Times New Roman"/>
          <w:szCs w:val="28"/>
          <w:lang w:eastAsia="lv-LV"/>
        </w:rPr>
      </w:pPr>
      <w:r w:rsidRPr="005154DA">
        <w:rPr>
          <w:rFonts w:eastAsia="Times New Roman" w:cs="Times New Roman"/>
          <w:szCs w:val="28"/>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055"/>
      </w:tblGrid>
      <w:tr w14:paraId="390D82E2" w14:textId="77777777" w:rsidTr="009F7942">
        <w:tblPrEx>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Ex>
        <w:trPr>
          <w:trHeight w:val="55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1C79" w:rsidRPr="005154DA" w:rsidP="00641C79" w14:paraId="26161AC3" w14:textId="77777777">
            <w:pPr>
              <w:spacing w:before="100" w:beforeAutospacing="1" w:after="100" w:afterAutospacing="1"/>
              <w:jc w:val="center"/>
              <w:rPr>
                <w:rFonts w:eastAsia="Times New Roman" w:cs="Times New Roman"/>
                <w:b/>
                <w:bCs/>
                <w:szCs w:val="28"/>
                <w:lang w:eastAsia="lv-LV"/>
              </w:rPr>
            </w:pPr>
            <w:r w:rsidRPr="005154DA">
              <w:rPr>
                <w:rFonts w:eastAsia="Times New Roman" w:cs="Times New Roman"/>
                <w:b/>
                <w:bCs/>
                <w:szCs w:val="28"/>
                <w:lang w:eastAsia="lv-LV"/>
              </w:rPr>
              <w:t>III. Tiesību akta projekta ietekme uz valsts budžetu un pašvaldību budžetiem</w:t>
            </w:r>
          </w:p>
        </w:tc>
      </w:tr>
      <w:tr w14:paraId="299E421E" w14:textId="77777777" w:rsidTr="009F7942">
        <w:tblPrEx>
          <w:tblW w:w="5000" w:type="pct"/>
          <w:tblCellSpacing w:w="15" w:type="dxa"/>
          <w:tblCellMar>
            <w:top w:w="30" w:type="dxa"/>
            <w:left w:w="30" w:type="dxa"/>
            <w:bottom w:w="30" w:type="dxa"/>
            <w:right w:w="30" w:type="dxa"/>
          </w:tblCellMar>
          <w:tblLook w:val="04A0"/>
        </w:tblPrEx>
        <w:trPr>
          <w:trHeight w:val="555"/>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41C79" w:rsidRPr="005154DA" w:rsidP="009F7942" w14:paraId="5662DBFC" w14:textId="77777777">
            <w:pPr>
              <w:spacing w:before="100" w:beforeAutospacing="1" w:after="100" w:afterAutospacing="1"/>
              <w:jc w:val="center"/>
              <w:rPr>
                <w:rFonts w:eastAsia="Times New Roman" w:cs="Times New Roman"/>
                <w:b/>
                <w:bCs/>
                <w:szCs w:val="28"/>
                <w:lang w:eastAsia="lv-LV"/>
              </w:rPr>
            </w:pPr>
            <w:r w:rsidRPr="005154DA">
              <w:rPr>
                <w:rFonts w:eastAsia="Times New Roman" w:cs="Times New Roman"/>
                <w:bCs/>
                <w:szCs w:val="28"/>
                <w:lang w:eastAsia="lv-LV"/>
              </w:rPr>
              <w:t>Projekts šo jomu neskar</w:t>
            </w:r>
          </w:p>
        </w:tc>
      </w:tr>
    </w:tbl>
    <w:p w:rsidR="00321A9A" w:rsidRPr="005154DA" w:rsidP="00EA086E" w14:paraId="375B3E22" w14:textId="77777777">
      <w:pPr>
        <w:rPr>
          <w:rFonts w:eastAsia="Times New Roman" w:cs="Times New Roman"/>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055"/>
      </w:tblGrid>
      <w:tr w14:paraId="2EFD4C56" w14:textId="77777777" w:rsidTr="009F7942">
        <w:tblPrEx>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Ex>
        <w:trPr>
          <w:trHeight w:val="55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1C79" w:rsidRPr="005154DA" w:rsidP="009F7942" w14:paraId="426B71E6" w14:textId="77777777">
            <w:pPr>
              <w:spacing w:before="100" w:beforeAutospacing="1" w:after="100" w:afterAutospacing="1"/>
              <w:jc w:val="center"/>
              <w:rPr>
                <w:rFonts w:eastAsia="Times New Roman" w:cs="Times New Roman"/>
                <w:b/>
                <w:bCs/>
                <w:szCs w:val="28"/>
                <w:lang w:eastAsia="lv-LV"/>
              </w:rPr>
            </w:pPr>
            <w:r w:rsidRPr="005154DA">
              <w:rPr>
                <w:rFonts w:eastAsia="Times New Roman" w:cs="Times New Roman"/>
                <w:b/>
                <w:bCs/>
                <w:szCs w:val="28"/>
                <w:lang w:eastAsia="lv-LV"/>
              </w:rPr>
              <w:t>IV. Tiesību akta projekta ietekme uz spēkā esošo tiesību normu sistēmu</w:t>
            </w:r>
          </w:p>
        </w:tc>
      </w:tr>
      <w:tr w14:paraId="5F858B86" w14:textId="77777777" w:rsidTr="009F7942">
        <w:tblPrEx>
          <w:tblW w:w="5000" w:type="pct"/>
          <w:tblCellSpacing w:w="15" w:type="dxa"/>
          <w:tblCellMar>
            <w:top w:w="30" w:type="dxa"/>
            <w:left w:w="30" w:type="dxa"/>
            <w:bottom w:w="30" w:type="dxa"/>
            <w:right w:w="30" w:type="dxa"/>
          </w:tblCellMar>
          <w:tblLook w:val="04A0"/>
        </w:tblPrEx>
        <w:trPr>
          <w:trHeight w:val="555"/>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41C79" w:rsidRPr="005154DA" w:rsidP="009F7942" w14:paraId="46665988" w14:textId="77777777">
            <w:pPr>
              <w:spacing w:before="100" w:beforeAutospacing="1" w:after="100" w:afterAutospacing="1"/>
              <w:jc w:val="center"/>
              <w:rPr>
                <w:rFonts w:eastAsia="Times New Roman" w:cs="Times New Roman"/>
                <w:b/>
                <w:bCs/>
                <w:szCs w:val="28"/>
                <w:lang w:eastAsia="lv-LV"/>
              </w:rPr>
            </w:pPr>
            <w:r w:rsidRPr="005154DA">
              <w:rPr>
                <w:rFonts w:eastAsia="Times New Roman" w:cs="Times New Roman"/>
                <w:bCs/>
                <w:szCs w:val="28"/>
                <w:lang w:eastAsia="lv-LV"/>
              </w:rPr>
              <w:t>Projekts šo jomu neskar</w:t>
            </w:r>
          </w:p>
        </w:tc>
      </w:tr>
    </w:tbl>
    <w:p w:rsidR="00641C79" w:rsidRPr="005154DA" w:rsidP="00EA086E" w14:paraId="21467AB5" w14:textId="77777777">
      <w:pPr>
        <w:rPr>
          <w:rFonts w:eastAsia="Times New Roman" w:cs="Times New Roman"/>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055"/>
      </w:tblGrid>
      <w:tr w14:paraId="149F880F" w14:textId="77777777" w:rsidTr="009F7942">
        <w:tblPrEx>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Ex>
        <w:trPr>
          <w:trHeight w:val="55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41C79" w:rsidRPr="005154DA" w:rsidP="009F7942" w14:paraId="27DE423B" w14:textId="77777777">
            <w:pPr>
              <w:spacing w:before="100" w:beforeAutospacing="1" w:after="100" w:afterAutospacing="1"/>
              <w:jc w:val="center"/>
              <w:rPr>
                <w:rFonts w:eastAsia="Times New Roman" w:cs="Times New Roman"/>
                <w:b/>
                <w:bCs/>
                <w:szCs w:val="28"/>
                <w:lang w:eastAsia="lv-LV"/>
              </w:rPr>
            </w:pPr>
            <w:r w:rsidRPr="005154DA">
              <w:rPr>
                <w:rFonts w:eastAsia="Times New Roman" w:cs="Times New Roman"/>
                <w:b/>
                <w:bCs/>
                <w:szCs w:val="28"/>
                <w:lang w:eastAsia="lv-LV"/>
              </w:rPr>
              <w:t>V. Tiesību akta projekta atbilstība Latvijas Republikas starptautiskajām saistībām</w:t>
            </w:r>
          </w:p>
        </w:tc>
      </w:tr>
      <w:tr w14:paraId="1A984C3A" w14:textId="77777777" w:rsidTr="009F7942">
        <w:tblPrEx>
          <w:tblW w:w="5000" w:type="pct"/>
          <w:tblCellSpacing w:w="15" w:type="dxa"/>
          <w:tblCellMar>
            <w:top w:w="30" w:type="dxa"/>
            <w:left w:w="30" w:type="dxa"/>
            <w:bottom w:w="30" w:type="dxa"/>
            <w:right w:w="30" w:type="dxa"/>
          </w:tblCellMar>
          <w:tblLook w:val="04A0"/>
        </w:tblPrEx>
        <w:trPr>
          <w:trHeight w:val="555"/>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41C79" w:rsidRPr="005154DA" w:rsidP="009F7942" w14:paraId="47336AE2" w14:textId="77777777">
            <w:pPr>
              <w:spacing w:before="100" w:beforeAutospacing="1" w:after="100" w:afterAutospacing="1"/>
              <w:jc w:val="center"/>
              <w:rPr>
                <w:rFonts w:eastAsia="Times New Roman" w:cs="Times New Roman"/>
                <w:b/>
                <w:bCs/>
                <w:szCs w:val="28"/>
                <w:lang w:eastAsia="lv-LV"/>
              </w:rPr>
            </w:pPr>
            <w:r w:rsidRPr="005154DA">
              <w:rPr>
                <w:rFonts w:eastAsia="Times New Roman" w:cs="Times New Roman"/>
                <w:bCs/>
                <w:szCs w:val="28"/>
                <w:lang w:eastAsia="lv-LV"/>
              </w:rPr>
              <w:t>Projekts šo jomu neskar</w:t>
            </w:r>
          </w:p>
        </w:tc>
      </w:tr>
    </w:tbl>
    <w:p w:rsidR="00641C79" w:rsidRPr="005154DA" w:rsidP="00EA086E" w14:paraId="5FB104AA" w14:textId="77777777">
      <w:pPr>
        <w:rPr>
          <w:rFonts w:eastAsia="Times New Roman" w:cs="Times New Roman"/>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93"/>
        <w:gridCol w:w="2800"/>
        <w:gridCol w:w="5762"/>
      </w:tblGrid>
      <w:tr w14:paraId="7ACA16C7" w14:textId="77777777" w:rsidTr="005B186D">
        <w:tblPrEx>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Ex>
        <w:trPr>
          <w:trHeight w:val="555"/>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37986" w:rsidRPr="005154DA" w:rsidP="005B186D" w14:paraId="250CE56C" w14:textId="77777777">
            <w:pPr>
              <w:spacing w:before="100" w:beforeAutospacing="1" w:after="100" w:afterAutospacing="1"/>
              <w:jc w:val="center"/>
              <w:rPr>
                <w:rFonts w:eastAsia="Times New Roman" w:cs="Times New Roman"/>
                <w:b/>
                <w:bCs/>
                <w:szCs w:val="28"/>
                <w:lang w:eastAsia="lv-LV"/>
              </w:rPr>
            </w:pPr>
            <w:r w:rsidRPr="005154DA">
              <w:rPr>
                <w:rFonts w:eastAsia="Times New Roman" w:cs="Times New Roman"/>
                <w:b/>
                <w:bCs/>
                <w:szCs w:val="28"/>
                <w:lang w:eastAsia="lv-LV"/>
              </w:rPr>
              <w:t>VI. Sabiedrības līdzdalība un komunikācijas aktivitātes</w:t>
            </w:r>
          </w:p>
        </w:tc>
      </w:tr>
      <w:tr w14:paraId="0D05884F" w14:textId="77777777" w:rsidTr="004A033E">
        <w:tblPrEx>
          <w:tblW w:w="5000" w:type="pct"/>
          <w:tblCellSpacing w:w="15" w:type="dxa"/>
          <w:tblCellMar>
            <w:top w:w="30" w:type="dxa"/>
            <w:left w:w="30" w:type="dxa"/>
            <w:bottom w:w="30" w:type="dxa"/>
            <w:right w:w="30" w:type="dxa"/>
          </w:tblCellMar>
          <w:tblLook w:val="04A0"/>
        </w:tblPrEx>
        <w:trPr>
          <w:trHeight w:val="465"/>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B37986" w:rsidRPr="005154DA" w:rsidP="005B186D" w14:paraId="35D8D97D" w14:textId="77777777">
            <w:pPr>
              <w:jc w:val="center"/>
              <w:rPr>
                <w:rFonts w:eastAsia="Times New Roman" w:cs="Times New Roman"/>
                <w:szCs w:val="28"/>
                <w:lang w:eastAsia="lv-LV"/>
              </w:rPr>
            </w:pPr>
            <w:r w:rsidRPr="005154DA">
              <w:rPr>
                <w:rFonts w:eastAsia="Times New Roman" w:cs="Times New Roman"/>
                <w:szCs w:val="28"/>
                <w:lang w:eastAsia="lv-LV"/>
              </w:rPr>
              <w:t>1.</w:t>
            </w:r>
          </w:p>
        </w:tc>
        <w:tc>
          <w:tcPr>
            <w:tcW w:w="1530" w:type="pct"/>
            <w:tcBorders>
              <w:top w:val="outset" w:sz="6" w:space="0" w:color="auto"/>
              <w:left w:val="outset" w:sz="6" w:space="0" w:color="auto"/>
              <w:bottom w:val="outset" w:sz="6" w:space="0" w:color="auto"/>
              <w:right w:val="outset" w:sz="6" w:space="0" w:color="auto"/>
            </w:tcBorders>
            <w:hideMark/>
          </w:tcPr>
          <w:p w:rsidR="00B37986" w:rsidRPr="005154DA" w:rsidP="0011047A" w14:paraId="5B1C5A5D" w14:textId="77777777">
            <w:pPr>
              <w:ind w:left="82" w:right="97"/>
              <w:jc w:val="both"/>
              <w:rPr>
                <w:rFonts w:eastAsia="Times New Roman" w:cs="Times New Roman"/>
                <w:szCs w:val="28"/>
                <w:lang w:eastAsia="lv-LV"/>
              </w:rPr>
            </w:pPr>
            <w:r w:rsidRPr="005154DA">
              <w:rPr>
                <w:rFonts w:eastAsia="Times New Roman" w:cs="Times New Roman"/>
                <w:szCs w:val="28"/>
                <w:lang w:eastAsia="lv-LV"/>
              </w:rPr>
              <w:t xml:space="preserve">Plānotās sabiedrības līdzdalības un </w:t>
            </w:r>
            <w:r w:rsidRPr="005154DA">
              <w:rPr>
                <w:rFonts w:eastAsia="Times New Roman" w:cs="Times New Roman"/>
                <w:szCs w:val="28"/>
                <w:lang w:eastAsia="lv-LV"/>
              </w:rPr>
              <w:t>komunikācijas aktivitātes saistībā ar projektu</w:t>
            </w:r>
          </w:p>
        </w:tc>
        <w:tc>
          <w:tcPr>
            <w:tcW w:w="3157" w:type="pct"/>
            <w:tcBorders>
              <w:top w:val="outset" w:sz="6" w:space="0" w:color="auto"/>
              <w:left w:val="outset" w:sz="6" w:space="0" w:color="auto"/>
              <w:bottom w:val="outset" w:sz="6" w:space="0" w:color="auto"/>
              <w:right w:val="outset" w:sz="6" w:space="0" w:color="auto"/>
            </w:tcBorders>
            <w:hideMark/>
          </w:tcPr>
          <w:p w:rsidR="004A2C6C" w:rsidRPr="005154DA" w:rsidP="00882E7B" w14:paraId="69C38656" w14:textId="20781E36">
            <w:pPr>
              <w:ind w:right="140"/>
              <w:jc w:val="both"/>
              <w:rPr>
                <w:rFonts w:eastAsia="Times New Roman" w:cs="Times New Roman"/>
                <w:szCs w:val="28"/>
                <w:lang w:eastAsia="lv-LV"/>
              </w:rPr>
            </w:pPr>
            <w:r w:rsidRPr="005154DA">
              <w:rPr>
                <w:szCs w:val="24"/>
              </w:rPr>
              <w:t xml:space="preserve">Projekts pieejams sabiedrībai Ekonomikas ministrijas </w:t>
            </w:r>
            <w:r w:rsidRPr="005154DA" w:rsidR="002B53AA">
              <w:rPr>
                <w:szCs w:val="24"/>
              </w:rPr>
              <w:t>tīmekļvietnē</w:t>
            </w:r>
            <w:r w:rsidRPr="005154DA">
              <w:rPr>
                <w:szCs w:val="24"/>
              </w:rPr>
              <w:t xml:space="preserve"> sadaļā „Sabiedrības </w:t>
            </w:r>
            <w:r w:rsidRPr="005154DA">
              <w:rPr>
                <w:szCs w:val="24"/>
              </w:rPr>
              <w:t xml:space="preserve">līdzdalība”. Pēc projekta pieņemšanas plānots sniegt informāciju semināros, kuru mērķauditorija </w:t>
            </w:r>
            <w:r w:rsidRPr="005154DA" w:rsidR="006028A9">
              <w:rPr>
                <w:szCs w:val="24"/>
              </w:rPr>
              <w:t xml:space="preserve">primāri </w:t>
            </w:r>
            <w:r w:rsidRPr="005154DA">
              <w:rPr>
                <w:szCs w:val="24"/>
              </w:rPr>
              <w:t xml:space="preserve">būs lielie uzņēmumi un lielie elektroenerģijas patērētāji. </w:t>
            </w:r>
          </w:p>
        </w:tc>
      </w:tr>
      <w:tr w14:paraId="6DFE47C0" w14:textId="77777777" w:rsidTr="004A033E">
        <w:tblPrEx>
          <w:tblW w:w="5000" w:type="pct"/>
          <w:tblCellSpacing w:w="15" w:type="dxa"/>
          <w:tblCellMar>
            <w:top w:w="30" w:type="dxa"/>
            <w:left w:w="30" w:type="dxa"/>
            <w:bottom w:w="30" w:type="dxa"/>
            <w:right w:w="30" w:type="dxa"/>
          </w:tblCellMar>
          <w:tblLook w:val="04A0"/>
        </w:tblPrEx>
        <w:trPr>
          <w:trHeight w:val="510"/>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B37986" w:rsidRPr="005154DA" w:rsidP="005B186D" w14:paraId="284AE3DE" w14:textId="77777777">
            <w:pPr>
              <w:jc w:val="center"/>
              <w:rPr>
                <w:rFonts w:eastAsia="Times New Roman" w:cs="Times New Roman"/>
                <w:szCs w:val="28"/>
                <w:lang w:eastAsia="lv-LV"/>
              </w:rPr>
            </w:pPr>
            <w:r w:rsidRPr="005154DA">
              <w:rPr>
                <w:rFonts w:eastAsia="Times New Roman" w:cs="Times New Roman"/>
                <w:szCs w:val="28"/>
                <w:lang w:eastAsia="lv-LV"/>
              </w:rPr>
              <w:t>2.</w:t>
            </w:r>
          </w:p>
        </w:tc>
        <w:tc>
          <w:tcPr>
            <w:tcW w:w="1530" w:type="pct"/>
            <w:tcBorders>
              <w:top w:val="outset" w:sz="6" w:space="0" w:color="auto"/>
              <w:left w:val="outset" w:sz="6" w:space="0" w:color="auto"/>
              <w:bottom w:val="outset" w:sz="6" w:space="0" w:color="auto"/>
              <w:right w:val="outset" w:sz="6" w:space="0" w:color="auto"/>
            </w:tcBorders>
            <w:hideMark/>
          </w:tcPr>
          <w:p w:rsidR="00B37986" w:rsidRPr="005154DA" w:rsidP="0011047A" w14:paraId="5C1472B8" w14:textId="77777777">
            <w:pPr>
              <w:ind w:left="82" w:right="97"/>
              <w:jc w:val="both"/>
              <w:rPr>
                <w:rFonts w:eastAsia="Times New Roman" w:cs="Times New Roman"/>
                <w:szCs w:val="28"/>
                <w:lang w:eastAsia="lv-LV"/>
              </w:rPr>
            </w:pPr>
            <w:r w:rsidRPr="005154DA">
              <w:rPr>
                <w:rFonts w:eastAsia="Times New Roman" w:cs="Times New Roman"/>
                <w:szCs w:val="28"/>
                <w:lang w:eastAsia="lv-LV"/>
              </w:rPr>
              <w:t>Sabiedrības līdzdalība projekta izstrādē</w:t>
            </w:r>
          </w:p>
        </w:tc>
        <w:tc>
          <w:tcPr>
            <w:tcW w:w="3157" w:type="pct"/>
            <w:tcBorders>
              <w:top w:val="outset" w:sz="6" w:space="0" w:color="auto"/>
              <w:left w:val="outset" w:sz="6" w:space="0" w:color="auto"/>
              <w:bottom w:val="outset" w:sz="6" w:space="0" w:color="auto"/>
              <w:right w:val="outset" w:sz="6" w:space="0" w:color="auto"/>
            </w:tcBorders>
            <w:hideMark/>
          </w:tcPr>
          <w:p w:rsidR="00B37986" w:rsidRPr="005154DA" w:rsidP="00325E59" w14:paraId="1781EA18" w14:textId="71A53574">
            <w:pPr>
              <w:ind w:right="140"/>
              <w:jc w:val="both"/>
              <w:rPr>
                <w:rFonts w:eastAsia="Times New Roman" w:cs="Times New Roman"/>
                <w:szCs w:val="28"/>
                <w:lang w:eastAsia="lv-LV"/>
              </w:rPr>
            </w:pPr>
            <w:r w:rsidRPr="005154DA">
              <w:rPr>
                <w:rFonts w:eastAsia="Times New Roman"/>
                <w:szCs w:val="24"/>
                <w:lang w:eastAsia="lv-LV"/>
              </w:rPr>
              <w:t>Notika konsultācijas ar AS “</w:t>
            </w:r>
            <w:r w:rsidRPr="005154DA">
              <w:rPr>
                <w:rFonts w:eastAsia="Times New Roman"/>
                <w:szCs w:val="24"/>
                <w:lang w:eastAsia="lv-LV"/>
              </w:rPr>
              <w:t>Inspecta</w:t>
            </w:r>
            <w:r w:rsidRPr="005154DA">
              <w:rPr>
                <w:rFonts w:eastAsia="Times New Roman"/>
                <w:szCs w:val="24"/>
                <w:lang w:eastAsia="lv-LV"/>
              </w:rPr>
              <w:t xml:space="preserve"> Latvia”</w:t>
            </w:r>
            <w:r w:rsidRPr="005154DA" w:rsidR="00444365">
              <w:rPr>
                <w:rFonts w:eastAsia="Times New Roman"/>
                <w:szCs w:val="24"/>
                <w:lang w:eastAsia="lv-LV"/>
              </w:rPr>
              <w:t xml:space="preserve"> un SIA “TUV Nord Latvija”</w:t>
            </w:r>
            <w:r w:rsidRPr="005154DA">
              <w:rPr>
                <w:rFonts w:eastAsia="Times New Roman"/>
                <w:szCs w:val="24"/>
                <w:lang w:eastAsia="lv-LV"/>
              </w:rPr>
              <w:t xml:space="preserve"> speciālistiem</w:t>
            </w:r>
          </w:p>
        </w:tc>
      </w:tr>
      <w:tr w14:paraId="139FE9CA" w14:textId="77777777" w:rsidTr="004A033E">
        <w:tblPrEx>
          <w:tblW w:w="5000" w:type="pct"/>
          <w:tblCellSpacing w:w="15" w:type="dxa"/>
          <w:tblCellMar>
            <w:top w:w="30" w:type="dxa"/>
            <w:left w:w="30" w:type="dxa"/>
            <w:bottom w:w="30" w:type="dxa"/>
            <w:right w:w="30" w:type="dxa"/>
          </w:tblCellMar>
          <w:tblLook w:val="04A0"/>
        </w:tblPrEx>
        <w:trPr>
          <w:trHeight w:val="510"/>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B37986" w:rsidRPr="005154DA" w:rsidP="005B186D" w14:paraId="4F1370F5" w14:textId="77777777">
            <w:pPr>
              <w:jc w:val="center"/>
              <w:rPr>
                <w:rFonts w:eastAsia="Times New Roman" w:cs="Times New Roman"/>
                <w:szCs w:val="28"/>
                <w:lang w:eastAsia="lv-LV"/>
              </w:rPr>
            </w:pPr>
            <w:r w:rsidRPr="005154DA">
              <w:rPr>
                <w:rFonts w:eastAsia="Times New Roman" w:cs="Times New Roman"/>
                <w:szCs w:val="28"/>
                <w:lang w:eastAsia="lv-LV"/>
              </w:rPr>
              <w:t>3.</w:t>
            </w:r>
          </w:p>
        </w:tc>
        <w:tc>
          <w:tcPr>
            <w:tcW w:w="1530" w:type="pct"/>
            <w:tcBorders>
              <w:top w:val="outset" w:sz="6" w:space="0" w:color="auto"/>
              <w:left w:val="outset" w:sz="6" w:space="0" w:color="auto"/>
              <w:bottom w:val="outset" w:sz="6" w:space="0" w:color="auto"/>
              <w:right w:val="outset" w:sz="6" w:space="0" w:color="auto"/>
            </w:tcBorders>
            <w:hideMark/>
          </w:tcPr>
          <w:p w:rsidR="00B37986" w:rsidRPr="005154DA" w:rsidP="0011047A" w14:paraId="37E14989" w14:textId="77777777">
            <w:pPr>
              <w:ind w:left="82" w:right="97"/>
              <w:jc w:val="both"/>
              <w:rPr>
                <w:rFonts w:eastAsia="Times New Roman" w:cs="Times New Roman"/>
                <w:szCs w:val="28"/>
                <w:lang w:eastAsia="lv-LV"/>
              </w:rPr>
            </w:pPr>
            <w:r w:rsidRPr="005154DA">
              <w:rPr>
                <w:rFonts w:eastAsia="Times New Roman" w:cs="Times New Roman"/>
                <w:szCs w:val="28"/>
                <w:lang w:eastAsia="lv-LV"/>
              </w:rPr>
              <w:t>Sabiedrības līdzdalības rezultāti</w:t>
            </w:r>
          </w:p>
        </w:tc>
        <w:tc>
          <w:tcPr>
            <w:tcW w:w="3157" w:type="pct"/>
            <w:tcBorders>
              <w:top w:val="outset" w:sz="6" w:space="0" w:color="auto"/>
              <w:left w:val="outset" w:sz="6" w:space="0" w:color="auto"/>
              <w:bottom w:val="outset" w:sz="6" w:space="0" w:color="auto"/>
              <w:right w:val="outset" w:sz="6" w:space="0" w:color="auto"/>
            </w:tcBorders>
            <w:hideMark/>
          </w:tcPr>
          <w:p w:rsidR="004A2C6C" w:rsidRPr="005154DA" w:rsidP="00325E59" w14:paraId="58CEE123" w14:textId="4940D4B6">
            <w:pPr>
              <w:ind w:right="140"/>
              <w:jc w:val="both"/>
              <w:rPr>
                <w:rFonts w:eastAsia="Times New Roman" w:cs="Times New Roman"/>
                <w:szCs w:val="28"/>
                <w:lang w:eastAsia="lv-LV"/>
              </w:rPr>
            </w:pPr>
            <w:r w:rsidRPr="005154DA">
              <w:rPr>
                <w:szCs w:val="24"/>
              </w:rPr>
              <w:t>S</w:t>
            </w:r>
            <w:r w:rsidRPr="005154DA" w:rsidR="00325E59">
              <w:rPr>
                <w:szCs w:val="24"/>
              </w:rPr>
              <w:t xml:space="preserve">peciālistu </w:t>
            </w:r>
            <w:r w:rsidRPr="005154DA">
              <w:rPr>
                <w:szCs w:val="24"/>
              </w:rPr>
              <w:t>priekšlikumi ņemti vērā</w:t>
            </w:r>
          </w:p>
        </w:tc>
      </w:tr>
      <w:tr w14:paraId="3B23CF21" w14:textId="77777777" w:rsidTr="004A033E">
        <w:tblPrEx>
          <w:tblW w:w="5000" w:type="pct"/>
          <w:tblCellSpacing w:w="15" w:type="dxa"/>
          <w:tblCellMar>
            <w:top w:w="30" w:type="dxa"/>
            <w:left w:w="30" w:type="dxa"/>
            <w:bottom w:w="30" w:type="dxa"/>
            <w:right w:w="30" w:type="dxa"/>
          </w:tblCellMar>
          <w:tblLook w:val="04A0"/>
        </w:tblPrEx>
        <w:trPr>
          <w:trHeight w:val="345"/>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B37986" w:rsidRPr="005154DA" w:rsidP="005B186D" w14:paraId="78D89756" w14:textId="77777777">
            <w:pPr>
              <w:jc w:val="center"/>
              <w:rPr>
                <w:rFonts w:eastAsia="Times New Roman" w:cs="Times New Roman"/>
                <w:szCs w:val="28"/>
                <w:lang w:eastAsia="lv-LV"/>
              </w:rPr>
            </w:pPr>
            <w:r w:rsidRPr="005154DA">
              <w:rPr>
                <w:rFonts w:eastAsia="Times New Roman" w:cs="Times New Roman"/>
                <w:szCs w:val="28"/>
                <w:lang w:eastAsia="lv-LV"/>
              </w:rPr>
              <w:t>4.</w:t>
            </w:r>
          </w:p>
        </w:tc>
        <w:tc>
          <w:tcPr>
            <w:tcW w:w="1530" w:type="pct"/>
            <w:tcBorders>
              <w:top w:val="outset" w:sz="6" w:space="0" w:color="auto"/>
              <w:left w:val="outset" w:sz="6" w:space="0" w:color="auto"/>
              <w:bottom w:val="outset" w:sz="6" w:space="0" w:color="auto"/>
              <w:right w:val="outset" w:sz="6" w:space="0" w:color="auto"/>
            </w:tcBorders>
            <w:hideMark/>
          </w:tcPr>
          <w:p w:rsidR="00B37986" w:rsidRPr="005154DA" w:rsidP="0011047A" w14:paraId="2832BDD9" w14:textId="77777777">
            <w:pPr>
              <w:ind w:right="97"/>
              <w:jc w:val="both"/>
              <w:rPr>
                <w:rFonts w:eastAsia="Times New Roman" w:cs="Times New Roman"/>
                <w:szCs w:val="28"/>
                <w:lang w:eastAsia="lv-LV"/>
              </w:rPr>
            </w:pPr>
            <w:r w:rsidRPr="005154DA">
              <w:rPr>
                <w:rFonts w:eastAsia="Times New Roman" w:cs="Times New Roman"/>
                <w:szCs w:val="28"/>
                <w:lang w:eastAsia="lv-LV"/>
              </w:rPr>
              <w:t>Cita informācija</w:t>
            </w:r>
          </w:p>
        </w:tc>
        <w:tc>
          <w:tcPr>
            <w:tcW w:w="3157" w:type="pct"/>
            <w:tcBorders>
              <w:top w:val="outset" w:sz="6" w:space="0" w:color="auto"/>
              <w:left w:val="outset" w:sz="6" w:space="0" w:color="auto"/>
              <w:bottom w:val="outset" w:sz="6" w:space="0" w:color="auto"/>
              <w:right w:val="outset" w:sz="6" w:space="0" w:color="auto"/>
            </w:tcBorders>
            <w:hideMark/>
          </w:tcPr>
          <w:p w:rsidR="00B37986" w:rsidRPr="005154DA" w:rsidP="00325E59" w14:paraId="3DA9EE32" w14:textId="77777777">
            <w:pPr>
              <w:spacing w:before="100" w:beforeAutospacing="1" w:after="100" w:afterAutospacing="1"/>
              <w:ind w:right="140"/>
              <w:jc w:val="both"/>
              <w:rPr>
                <w:rFonts w:eastAsia="Times New Roman" w:cs="Times New Roman"/>
                <w:szCs w:val="28"/>
                <w:lang w:eastAsia="lv-LV"/>
              </w:rPr>
            </w:pPr>
            <w:r w:rsidRPr="005154DA">
              <w:rPr>
                <w:rFonts w:eastAsia="Times New Roman" w:cs="Times New Roman"/>
                <w:szCs w:val="28"/>
                <w:lang w:eastAsia="lv-LV"/>
              </w:rPr>
              <w:t>Nav</w:t>
            </w:r>
          </w:p>
        </w:tc>
      </w:tr>
    </w:tbl>
    <w:p w:rsidR="00B37986" w:rsidRPr="005154DA" w:rsidP="00EA086E" w14:paraId="67CDEC18" w14:textId="77777777">
      <w:pPr>
        <w:rPr>
          <w:rFonts w:eastAsia="Times New Roman" w:cs="Times New Roman"/>
          <w:szCs w:val="28"/>
          <w:lang w:eastAsia="lv-LV"/>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80"/>
        <w:gridCol w:w="4255"/>
        <w:gridCol w:w="4320"/>
      </w:tblGrid>
      <w:tr w14:paraId="7F1CBCA8" w14:textId="77777777" w:rsidTr="00B26993">
        <w:tblPrEx>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Ex>
        <w:trPr>
          <w:trHeight w:val="375"/>
          <w:tblCellSpacing w:w="15" w:type="dxa"/>
          <w:jc w:val="center"/>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rsidR="005A2ACB" w:rsidRPr="005154DA" w:rsidP="005A2ACB" w14:paraId="61E73D04" w14:textId="77777777">
            <w:pPr>
              <w:spacing w:before="100" w:beforeAutospacing="1" w:after="100" w:afterAutospacing="1"/>
              <w:jc w:val="center"/>
              <w:rPr>
                <w:rFonts w:eastAsia="Times New Roman" w:cs="Times New Roman"/>
                <w:b/>
                <w:bCs/>
                <w:szCs w:val="28"/>
                <w:lang w:eastAsia="lv-LV"/>
              </w:rPr>
            </w:pPr>
            <w:r w:rsidRPr="005154DA">
              <w:rPr>
                <w:rFonts w:eastAsia="Times New Roman" w:cs="Times New Roman"/>
                <w:b/>
                <w:bCs/>
                <w:szCs w:val="28"/>
                <w:lang w:eastAsia="lv-LV"/>
              </w:rPr>
              <w:t>VII. Tiesību akta projekta izpildes nodrošināšana un tās ietekme uz institūcijām</w:t>
            </w:r>
          </w:p>
        </w:tc>
      </w:tr>
      <w:tr w14:paraId="2C6A5844" w14:textId="77777777" w:rsidTr="00B26993">
        <w:tblPrEx>
          <w:tblW w:w="5000" w:type="pct"/>
          <w:jc w:val="center"/>
          <w:tblCellSpacing w:w="15" w:type="dxa"/>
          <w:tblCellMar>
            <w:top w:w="30" w:type="dxa"/>
            <w:left w:w="30" w:type="dxa"/>
            <w:bottom w:w="30" w:type="dxa"/>
            <w:right w:w="30" w:type="dxa"/>
          </w:tblCellMar>
          <w:tblLook w:val="04A0"/>
        </w:tblPrEx>
        <w:trPr>
          <w:trHeight w:val="420"/>
          <w:tblCellSpacing w:w="15" w:type="dxa"/>
          <w:jc w:val="center"/>
        </w:trPr>
        <w:tc>
          <w:tcPr>
            <w:tcW w:w="242" w:type="pct"/>
            <w:tcBorders>
              <w:top w:val="outset" w:sz="6" w:space="0" w:color="auto"/>
              <w:left w:val="outset" w:sz="6" w:space="0" w:color="auto"/>
              <w:bottom w:val="outset" w:sz="6" w:space="0" w:color="auto"/>
              <w:right w:val="outset" w:sz="6" w:space="0" w:color="auto"/>
            </w:tcBorders>
            <w:hideMark/>
          </w:tcPr>
          <w:p w:rsidR="005A2ACB" w:rsidRPr="005154DA" w:rsidP="002A42FF" w14:paraId="0C7E830D" w14:textId="77777777">
            <w:pPr>
              <w:jc w:val="center"/>
              <w:rPr>
                <w:rFonts w:eastAsia="Times New Roman" w:cs="Times New Roman"/>
                <w:szCs w:val="28"/>
                <w:lang w:eastAsia="lv-LV"/>
              </w:rPr>
            </w:pPr>
            <w:r w:rsidRPr="005154DA">
              <w:rPr>
                <w:rFonts w:eastAsia="Times New Roman" w:cs="Times New Roman"/>
                <w:szCs w:val="28"/>
                <w:lang w:eastAsia="lv-LV"/>
              </w:rPr>
              <w:t>1.</w:t>
            </w:r>
          </w:p>
        </w:tc>
        <w:tc>
          <w:tcPr>
            <w:tcW w:w="2349" w:type="pct"/>
            <w:tcBorders>
              <w:top w:val="outset" w:sz="6" w:space="0" w:color="auto"/>
              <w:left w:val="outset" w:sz="6" w:space="0" w:color="auto"/>
              <w:bottom w:val="outset" w:sz="6" w:space="0" w:color="auto"/>
              <w:right w:val="outset" w:sz="6" w:space="0" w:color="auto"/>
            </w:tcBorders>
            <w:hideMark/>
          </w:tcPr>
          <w:p w:rsidR="005A2ACB" w:rsidRPr="005154DA" w:rsidP="0011047A" w14:paraId="6C7653AD" w14:textId="77777777">
            <w:pPr>
              <w:ind w:left="82" w:right="167"/>
              <w:jc w:val="both"/>
              <w:rPr>
                <w:rFonts w:eastAsia="Times New Roman" w:cs="Times New Roman"/>
                <w:szCs w:val="28"/>
                <w:lang w:eastAsia="lv-LV"/>
              </w:rPr>
            </w:pPr>
            <w:r w:rsidRPr="005154DA">
              <w:rPr>
                <w:rFonts w:eastAsia="Times New Roman" w:cs="Times New Roman"/>
                <w:szCs w:val="28"/>
                <w:lang w:eastAsia="lv-LV"/>
              </w:rPr>
              <w:t>Projekta izpildē iesaistītās institūcijas</w:t>
            </w:r>
          </w:p>
        </w:tc>
        <w:tc>
          <w:tcPr>
            <w:tcW w:w="2342" w:type="pct"/>
            <w:tcBorders>
              <w:top w:val="outset" w:sz="6" w:space="0" w:color="auto"/>
              <w:left w:val="outset" w:sz="6" w:space="0" w:color="auto"/>
              <w:bottom w:val="outset" w:sz="6" w:space="0" w:color="auto"/>
              <w:right w:val="outset" w:sz="6" w:space="0" w:color="auto"/>
            </w:tcBorders>
            <w:hideMark/>
          </w:tcPr>
          <w:p w:rsidR="005A2ACB" w:rsidRPr="005154DA" w:rsidP="00325E59" w14:paraId="1274F868" w14:textId="77777777">
            <w:pPr>
              <w:ind w:right="140"/>
              <w:jc w:val="both"/>
              <w:rPr>
                <w:rFonts w:eastAsia="Times New Roman" w:cs="Times New Roman"/>
                <w:szCs w:val="28"/>
                <w:lang w:eastAsia="lv-LV"/>
              </w:rPr>
            </w:pPr>
            <w:r w:rsidRPr="005154DA">
              <w:rPr>
                <w:rFonts w:eastAsia="Times New Roman"/>
                <w:szCs w:val="24"/>
                <w:lang w:eastAsia="lv-LV"/>
              </w:rPr>
              <w:t xml:space="preserve">Neatkarīgi eksperti ēku energoefektivitātes jomā, uzņēmumu </w:t>
            </w:r>
            <w:r w:rsidRPr="005154DA">
              <w:rPr>
                <w:rFonts w:eastAsia="Times New Roman"/>
                <w:szCs w:val="24"/>
                <w:lang w:eastAsia="lv-LV"/>
              </w:rPr>
              <w:t>energoauditori</w:t>
            </w:r>
            <w:r w:rsidRPr="005154DA" w:rsidR="00281A90">
              <w:rPr>
                <w:rFonts w:eastAsia="Times New Roman"/>
                <w:szCs w:val="24"/>
                <w:lang w:eastAsia="lv-LV"/>
              </w:rPr>
              <w:t>.</w:t>
            </w:r>
          </w:p>
        </w:tc>
      </w:tr>
      <w:tr w14:paraId="08311A56" w14:textId="77777777" w:rsidTr="00B26993">
        <w:tblPrEx>
          <w:tblW w:w="5000" w:type="pct"/>
          <w:jc w:val="center"/>
          <w:tblCellSpacing w:w="15" w:type="dxa"/>
          <w:tblCellMar>
            <w:top w:w="30" w:type="dxa"/>
            <w:left w:w="30" w:type="dxa"/>
            <w:bottom w:w="30" w:type="dxa"/>
            <w:right w:w="30" w:type="dxa"/>
          </w:tblCellMar>
          <w:tblLook w:val="04A0"/>
        </w:tblPrEx>
        <w:trPr>
          <w:trHeight w:val="450"/>
          <w:tblCellSpacing w:w="15" w:type="dxa"/>
          <w:jc w:val="center"/>
        </w:trPr>
        <w:tc>
          <w:tcPr>
            <w:tcW w:w="242" w:type="pct"/>
            <w:tcBorders>
              <w:top w:val="outset" w:sz="6" w:space="0" w:color="auto"/>
              <w:left w:val="outset" w:sz="6" w:space="0" w:color="auto"/>
              <w:bottom w:val="outset" w:sz="6" w:space="0" w:color="auto"/>
              <w:right w:val="outset" w:sz="6" w:space="0" w:color="auto"/>
            </w:tcBorders>
            <w:hideMark/>
          </w:tcPr>
          <w:p w:rsidR="005A2ACB" w:rsidRPr="005154DA" w:rsidP="002A42FF" w14:paraId="06C9022C" w14:textId="77777777">
            <w:pPr>
              <w:jc w:val="center"/>
              <w:rPr>
                <w:rFonts w:eastAsia="Times New Roman" w:cs="Times New Roman"/>
                <w:szCs w:val="28"/>
                <w:lang w:eastAsia="lv-LV"/>
              </w:rPr>
            </w:pPr>
            <w:r w:rsidRPr="005154DA">
              <w:rPr>
                <w:rFonts w:eastAsia="Times New Roman" w:cs="Times New Roman"/>
                <w:szCs w:val="28"/>
                <w:lang w:eastAsia="lv-LV"/>
              </w:rPr>
              <w:t>2.</w:t>
            </w:r>
          </w:p>
        </w:tc>
        <w:tc>
          <w:tcPr>
            <w:tcW w:w="2349" w:type="pct"/>
            <w:tcBorders>
              <w:top w:val="outset" w:sz="6" w:space="0" w:color="auto"/>
              <w:left w:val="outset" w:sz="6" w:space="0" w:color="auto"/>
              <w:bottom w:val="outset" w:sz="6" w:space="0" w:color="auto"/>
              <w:right w:val="outset" w:sz="6" w:space="0" w:color="auto"/>
            </w:tcBorders>
            <w:hideMark/>
          </w:tcPr>
          <w:p w:rsidR="005A2ACB" w:rsidRPr="005154DA" w:rsidP="0011047A" w14:paraId="686500D0" w14:textId="77777777">
            <w:pPr>
              <w:ind w:left="82" w:right="167"/>
              <w:jc w:val="both"/>
              <w:rPr>
                <w:rFonts w:eastAsia="Times New Roman" w:cs="Times New Roman"/>
                <w:szCs w:val="28"/>
                <w:lang w:eastAsia="lv-LV"/>
              </w:rPr>
            </w:pPr>
            <w:r w:rsidRPr="005154DA">
              <w:rPr>
                <w:rFonts w:eastAsia="Times New Roman" w:cs="Times New Roman"/>
                <w:szCs w:val="28"/>
                <w:lang w:eastAsia="lv-LV"/>
              </w:rPr>
              <w:t xml:space="preserve">Projekta izpildes ietekme uz pārvaldes funkcijām un institucionālo struktūru. </w:t>
            </w:r>
          </w:p>
          <w:p w:rsidR="005A2ACB" w:rsidRPr="005154DA" w:rsidP="0011047A" w14:paraId="05DD1990" w14:textId="77777777">
            <w:pPr>
              <w:spacing w:after="100" w:afterAutospacing="1"/>
              <w:ind w:left="82" w:right="167"/>
              <w:jc w:val="both"/>
              <w:rPr>
                <w:rFonts w:eastAsia="Times New Roman" w:cs="Times New Roman"/>
                <w:szCs w:val="28"/>
                <w:lang w:eastAsia="lv-LV"/>
              </w:rPr>
            </w:pPr>
            <w:r w:rsidRPr="005154DA">
              <w:rPr>
                <w:rFonts w:eastAsia="Times New Roman" w:cs="Times New Roman"/>
                <w:szCs w:val="28"/>
                <w:lang w:eastAsia="lv-LV"/>
              </w:rPr>
              <w:t>Jaunu institūciju izveide, esošu institūciju likvidācija vai reorganizācija, to ietekme uz institūcijas cilvēkresursiem</w:t>
            </w:r>
          </w:p>
        </w:tc>
        <w:tc>
          <w:tcPr>
            <w:tcW w:w="2342" w:type="pct"/>
            <w:tcBorders>
              <w:top w:val="outset" w:sz="6" w:space="0" w:color="auto"/>
              <w:left w:val="outset" w:sz="6" w:space="0" w:color="auto"/>
              <w:bottom w:val="outset" w:sz="6" w:space="0" w:color="auto"/>
              <w:right w:val="outset" w:sz="6" w:space="0" w:color="auto"/>
            </w:tcBorders>
            <w:hideMark/>
          </w:tcPr>
          <w:p w:rsidR="005A2ACB" w:rsidRPr="005154DA" w:rsidP="00325E59" w14:paraId="0E2A4F4E" w14:textId="4A59F39A">
            <w:pPr>
              <w:ind w:right="140"/>
              <w:jc w:val="both"/>
              <w:rPr>
                <w:rFonts w:eastAsia="Times New Roman" w:cs="Times New Roman"/>
                <w:szCs w:val="28"/>
                <w:lang w:eastAsia="lv-LV"/>
              </w:rPr>
            </w:pPr>
            <w:r w:rsidRPr="005154DA">
              <w:rPr>
                <w:rFonts w:eastAsia="Times New Roman" w:cs="Times New Roman"/>
                <w:szCs w:val="28"/>
                <w:lang w:eastAsia="lv-LV"/>
              </w:rPr>
              <w:t>Jauna</w:t>
            </w:r>
            <w:r w:rsidR="00B15742">
              <w:rPr>
                <w:rFonts w:eastAsia="Times New Roman" w:cs="Times New Roman"/>
                <w:szCs w:val="28"/>
                <w:lang w:eastAsia="lv-LV"/>
              </w:rPr>
              <w:t>s</w:t>
            </w:r>
            <w:r w:rsidRPr="005154DA">
              <w:rPr>
                <w:rFonts w:eastAsia="Times New Roman" w:cs="Times New Roman"/>
                <w:szCs w:val="28"/>
                <w:lang w:eastAsia="lv-LV"/>
              </w:rPr>
              <w:t xml:space="preserve"> institūcija</w:t>
            </w:r>
            <w:r w:rsidR="00B15742">
              <w:rPr>
                <w:rFonts w:eastAsia="Times New Roman" w:cs="Times New Roman"/>
                <w:szCs w:val="28"/>
                <w:lang w:eastAsia="lv-LV"/>
              </w:rPr>
              <w:t>s</w:t>
            </w:r>
            <w:r w:rsidRPr="005154DA">
              <w:rPr>
                <w:rFonts w:eastAsia="Times New Roman" w:cs="Times New Roman"/>
                <w:szCs w:val="28"/>
                <w:lang w:eastAsia="lv-LV"/>
              </w:rPr>
              <w:t xml:space="preserve"> netiek veidota</w:t>
            </w:r>
            <w:r w:rsidR="00B15742">
              <w:rPr>
                <w:rFonts w:eastAsia="Times New Roman" w:cs="Times New Roman"/>
                <w:szCs w:val="28"/>
                <w:lang w:eastAsia="lv-LV"/>
              </w:rPr>
              <w:t>s</w:t>
            </w:r>
            <w:r w:rsidRPr="005154DA">
              <w:rPr>
                <w:rFonts w:eastAsia="Times New Roman" w:cs="Times New Roman"/>
                <w:szCs w:val="28"/>
                <w:lang w:eastAsia="lv-LV"/>
              </w:rPr>
              <w:t>, kā arī n</w:t>
            </w:r>
            <w:r w:rsidRPr="005154DA" w:rsidR="00281A90">
              <w:rPr>
                <w:rFonts w:eastAsia="Times New Roman" w:cs="Times New Roman"/>
                <w:szCs w:val="28"/>
                <w:lang w:eastAsia="lv-LV"/>
              </w:rPr>
              <w:t>av</w:t>
            </w:r>
            <w:r w:rsidRPr="005154DA">
              <w:rPr>
                <w:rFonts w:eastAsia="Times New Roman" w:cs="Times New Roman"/>
                <w:szCs w:val="28"/>
                <w:lang w:eastAsia="lv-LV"/>
              </w:rPr>
              <w:t xml:space="preserve"> paredzēta esoš</w:t>
            </w:r>
            <w:r w:rsidRPr="005154DA" w:rsidR="00281A90">
              <w:rPr>
                <w:rFonts w:eastAsia="Times New Roman" w:cs="Times New Roman"/>
                <w:szCs w:val="28"/>
                <w:lang w:eastAsia="lv-LV"/>
              </w:rPr>
              <w:t>o</w:t>
            </w:r>
            <w:r w:rsidRPr="005154DA">
              <w:rPr>
                <w:rFonts w:eastAsia="Times New Roman" w:cs="Times New Roman"/>
                <w:szCs w:val="28"/>
                <w:lang w:eastAsia="lv-LV"/>
              </w:rPr>
              <w:t xml:space="preserve"> institūciju likvidācija vai reorganizācija.</w:t>
            </w:r>
          </w:p>
        </w:tc>
      </w:tr>
      <w:tr w14:paraId="0A1D28DB" w14:textId="77777777" w:rsidTr="00B26993">
        <w:tblPrEx>
          <w:tblW w:w="5000" w:type="pct"/>
          <w:jc w:val="center"/>
          <w:tblCellSpacing w:w="15" w:type="dxa"/>
          <w:tblCellMar>
            <w:top w:w="30" w:type="dxa"/>
            <w:left w:w="30" w:type="dxa"/>
            <w:bottom w:w="30" w:type="dxa"/>
            <w:right w:w="30" w:type="dxa"/>
          </w:tblCellMar>
          <w:tblLook w:val="04A0"/>
        </w:tblPrEx>
        <w:trPr>
          <w:trHeight w:val="390"/>
          <w:tblCellSpacing w:w="15" w:type="dxa"/>
          <w:jc w:val="center"/>
        </w:trPr>
        <w:tc>
          <w:tcPr>
            <w:tcW w:w="242" w:type="pct"/>
            <w:tcBorders>
              <w:top w:val="outset" w:sz="6" w:space="0" w:color="auto"/>
              <w:left w:val="outset" w:sz="6" w:space="0" w:color="auto"/>
              <w:bottom w:val="outset" w:sz="6" w:space="0" w:color="auto"/>
              <w:right w:val="outset" w:sz="6" w:space="0" w:color="auto"/>
            </w:tcBorders>
            <w:hideMark/>
          </w:tcPr>
          <w:p w:rsidR="005A2ACB" w:rsidRPr="005154DA" w:rsidP="002A42FF" w14:paraId="5ECC1528" w14:textId="77777777">
            <w:pPr>
              <w:jc w:val="center"/>
              <w:rPr>
                <w:rFonts w:eastAsia="Times New Roman" w:cs="Times New Roman"/>
                <w:szCs w:val="28"/>
                <w:lang w:eastAsia="lv-LV"/>
              </w:rPr>
            </w:pPr>
            <w:r w:rsidRPr="005154DA">
              <w:rPr>
                <w:rFonts w:eastAsia="Times New Roman" w:cs="Times New Roman"/>
                <w:szCs w:val="28"/>
                <w:lang w:eastAsia="lv-LV"/>
              </w:rPr>
              <w:t>3.</w:t>
            </w:r>
          </w:p>
        </w:tc>
        <w:tc>
          <w:tcPr>
            <w:tcW w:w="2349" w:type="pct"/>
            <w:tcBorders>
              <w:top w:val="outset" w:sz="6" w:space="0" w:color="auto"/>
              <w:left w:val="outset" w:sz="6" w:space="0" w:color="auto"/>
              <w:bottom w:val="outset" w:sz="6" w:space="0" w:color="auto"/>
              <w:right w:val="outset" w:sz="6" w:space="0" w:color="auto"/>
            </w:tcBorders>
            <w:hideMark/>
          </w:tcPr>
          <w:p w:rsidR="005A2ACB" w:rsidRPr="005154DA" w:rsidP="0011047A" w14:paraId="5654770C" w14:textId="77777777">
            <w:pPr>
              <w:ind w:right="167"/>
              <w:jc w:val="both"/>
              <w:rPr>
                <w:rFonts w:eastAsia="Times New Roman" w:cs="Times New Roman"/>
                <w:szCs w:val="28"/>
                <w:lang w:eastAsia="lv-LV"/>
              </w:rPr>
            </w:pPr>
            <w:r w:rsidRPr="005154DA">
              <w:rPr>
                <w:rFonts w:eastAsia="Times New Roman" w:cs="Times New Roman"/>
                <w:szCs w:val="28"/>
                <w:lang w:eastAsia="lv-LV"/>
              </w:rPr>
              <w:t>Cita informācija</w:t>
            </w:r>
          </w:p>
        </w:tc>
        <w:tc>
          <w:tcPr>
            <w:tcW w:w="2342" w:type="pct"/>
            <w:tcBorders>
              <w:top w:val="outset" w:sz="6" w:space="0" w:color="auto"/>
              <w:left w:val="outset" w:sz="6" w:space="0" w:color="auto"/>
              <w:bottom w:val="outset" w:sz="6" w:space="0" w:color="auto"/>
              <w:right w:val="outset" w:sz="6" w:space="0" w:color="auto"/>
            </w:tcBorders>
            <w:hideMark/>
          </w:tcPr>
          <w:p w:rsidR="005A2ACB" w:rsidRPr="005154DA" w:rsidP="002A42FF" w14:paraId="0167E732" w14:textId="77777777">
            <w:pPr>
              <w:spacing w:before="100" w:beforeAutospacing="1" w:after="100" w:afterAutospacing="1"/>
              <w:ind w:left="138" w:right="140" w:firstLine="142"/>
              <w:rPr>
                <w:rFonts w:eastAsia="Times New Roman" w:cs="Times New Roman"/>
                <w:szCs w:val="28"/>
                <w:lang w:eastAsia="lv-LV"/>
              </w:rPr>
            </w:pPr>
            <w:r w:rsidRPr="005154DA">
              <w:rPr>
                <w:rFonts w:eastAsia="Times New Roman" w:cs="Times New Roman"/>
                <w:szCs w:val="28"/>
                <w:lang w:eastAsia="lv-LV"/>
              </w:rPr>
              <w:t>Nav</w:t>
            </w:r>
          </w:p>
        </w:tc>
      </w:tr>
    </w:tbl>
    <w:p w:rsidR="00733BFD" w:rsidRPr="005154DA" w:rsidP="00733BFD" w14:paraId="1BB51C2C" w14:textId="77777777">
      <w:pPr>
        <w:rPr>
          <w:rFonts w:cs="Times New Roman"/>
          <w:szCs w:val="28"/>
        </w:rPr>
      </w:pPr>
    </w:p>
    <w:p w:rsidR="00733BFD" w:rsidRPr="005154DA" w:rsidP="00733BFD" w14:paraId="0E069553" w14:textId="77777777">
      <w:pPr>
        <w:rPr>
          <w:rFonts w:cs="Times New Roman"/>
          <w:bCs/>
          <w:szCs w:val="28"/>
        </w:rPr>
      </w:pPr>
      <w:r w:rsidRPr="005154DA">
        <w:rPr>
          <w:rFonts w:cs="Times New Roman"/>
          <w:bCs/>
          <w:szCs w:val="28"/>
        </w:rPr>
        <w:t xml:space="preserve">Iesniedzējs: </w:t>
      </w:r>
    </w:p>
    <w:p w:rsidR="00572459" w:rsidRPr="005154DA" w:rsidP="00572459" w14:paraId="2D9B3801" w14:textId="77777777">
      <w:pPr>
        <w:rPr>
          <w:rFonts w:eastAsia="Times New Roman" w:cs="Times New Roman"/>
          <w:bCs/>
          <w:szCs w:val="28"/>
        </w:rPr>
      </w:pPr>
      <w:r w:rsidRPr="005154DA">
        <w:rPr>
          <w:rFonts w:eastAsia="Times New Roman" w:cs="Times New Roman"/>
          <w:bCs/>
          <w:szCs w:val="28"/>
        </w:rPr>
        <w:t>Ministru prezidenta biedrs,</w:t>
      </w:r>
    </w:p>
    <w:p w:rsidR="00572459" w:rsidRPr="005154DA" w:rsidP="00572459" w14:paraId="36C04BF4" w14:textId="77777777">
      <w:pPr>
        <w:rPr>
          <w:rFonts w:eastAsia="Times New Roman" w:cs="Times New Roman"/>
          <w:bCs/>
          <w:szCs w:val="28"/>
        </w:rPr>
      </w:pPr>
      <w:r w:rsidRPr="005154DA">
        <w:rPr>
          <w:rFonts w:eastAsia="Times New Roman" w:cs="Times New Roman"/>
          <w:bCs/>
          <w:szCs w:val="28"/>
        </w:rPr>
        <w:t xml:space="preserve">ekonomikas ministrs </w:t>
      </w:r>
      <w:r w:rsidRPr="005154DA">
        <w:rPr>
          <w:rFonts w:eastAsia="Times New Roman" w:cs="Times New Roman"/>
          <w:bCs/>
          <w:szCs w:val="28"/>
        </w:rPr>
        <w:tab/>
      </w:r>
      <w:r w:rsidRPr="005154DA">
        <w:rPr>
          <w:rFonts w:eastAsia="Times New Roman" w:cs="Times New Roman"/>
          <w:bCs/>
          <w:szCs w:val="28"/>
        </w:rPr>
        <w:tab/>
      </w:r>
      <w:r w:rsidRPr="005154DA">
        <w:rPr>
          <w:rFonts w:eastAsia="Times New Roman" w:cs="Times New Roman"/>
          <w:bCs/>
          <w:szCs w:val="28"/>
        </w:rPr>
        <w:tab/>
      </w:r>
      <w:r w:rsidRPr="005154DA">
        <w:rPr>
          <w:rFonts w:eastAsia="Times New Roman" w:cs="Times New Roman"/>
          <w:bCs/>
          <w:szCs w:val="28"/>
        </w:rPr>
        <w:tab/>
        <w:t xml:space="preserve"> </w:t>
      </w:r>
      <w:r w:rsidRPr="005154DA">
        <w:rPr>
          <w:rFonts w:eastAsia="Times New Roman" w:cs="Times New Roman"/>
          <w:bCs/>
          <w:szCs w:val="28"/>
        </w:rPr>
        <w:tab/>
      </w:r>
      <w:r w:rsidRPr="005154DA">
        <w:rPr>
          <w:rFonts w:eastAsia="Times New Roman" w:cs="Times New Roman"/>
          <w:bCs/>
          <w:szCs w:val="28"/>
        </w:rPr>
        <w:tab/>
      </w:r>
      <w:r w:rsidRPr="005154DA">
        <w:rPr>
          <w:rFonts w:eastAsia="Times New Roman" w:cs="Times New Roman"/>
          <w:bCs/>
          <w:szCs w:val="28"/>
        </w:rPr>
        <w:tab/>
        <w:t>      </w:t>
      </w:r>
      <w:r w:rsidRPr="005154DA">
        <w:rPr>
          <w:rFonts w:eastAsia="Times New Roman" w:cs="Times New Roman"/>
          <w:bCs/>
          <w:szCs w:val="28"/>
        </w:rPr>
        <w:t>A.Ašeradens</w:t>
      </w:r>
    </w:p>
    <w:p w:rsidR="00572459" w:rsidRPr="005154DA" w:rsidP="00572459" w14:paraId="0A2E99B6" w14:textId="77777777">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rPr>
      </w:pPr>
      <w:r w:rsidRPr="005154DA">
        <w:rPr>
          <w:rFonts w:eastAsia="Times New Roman" w:cs="Times New Roman"/>
          <w:bCs/>
          <w:szCs w:val="28"/>
        </w:rPr>
        <w:t xml:space="preserve"> </w:t>
      </w:r>
    </w:p>
    <w:p w:rsidR="00572459" w:rsidRPr="005154DA" w:rsidP="00572459" w14:paraId="38CB909E" w14:textId="77777777">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rPr>
      </w:pPr>
      <w:r w:rsidRPr="005154DA">
        <w:rPr>
          <w:rFonts w:eastAsia="Times New Roman" w:cs="Times New Roman"/>
          <w:bCs/>
          <w:szCs w:val="28"/>
        </w:rPr>
        <w:t xml:space="preserve">Vīza: </w:t>
      </w:r>
    </w:p>
    <w:p w:rsidR="00572459" w:rsidRPr="005154DA" w:rsidP="00572459" w14:paraId="7477CB65" w14:textId="17CBF2A3">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rPr>
      </w:pPr>
      <w:r w:rsidRPr="005154DA">
        <w:rPr>
          <w:rFonts w:eastAsia="Times New Roman" w:cs="Times New Roman"/>
          <w:szCs w:val="28"/>
        </w:rPr>
        <w:t>Valsts sekretārs</w:t>
      </w:r>
      <w:r w:rsidRPr="005154DA">
        <w:rPr>
          <w:rFonts w:eastAsia="Times New Roman" w:cs="Times New Roman"/>
          <w:szCs w:val="28"/>
        </w:rPr>
        <w:tab/>
      </w:r>
      <w:r w:rsidRPr="005154DA">
        <w:rPr>
          <w:rFonts w:eastAsia="Times New Roman" w:cs="Times New Roman"/>
          <w:szCs w:val="28"/>
        </w:rPr>
        <w:tab/>
      </w:r>
      <w:r w:rsidRPr="005154DA">
        <w:rPr>
          <w:rFonts w:eastAsia="Times New Roman" w:cs="Times New Roman"/>
          <w:szCs w:val="28"/>
        </w:rPr>
        <w:tab/>
      </w:r>
      <w:r w:rsidRPr="005154DA">
        <w:rPr>
          <w:rFonts w:eastAsia="Times New Roman" w:cs="Times New Roman"/>
          <w:szCs w:val="28"/>
        </w:rPr>
        <w:tab/>
      </w:r>
      <w:r w:rsidRPr="005154DA" w:rsidR="00DD6C70">
        <w:rPr>
          <w:rFonts w:eastAsia="Times New Roman" w:cs="Times New Roman"/>
          <w:szCs w:val="28"/>
        </w:rPr>
        <w:t xml:space="preserve">                     </w:t>
      </w:r>
      <w:r w:rsidRPr="005154DA" w:rsidR="00444365">
        <w:rPr>
          <w:rFonts w:eastAsia="Times New Roman" w:cs="Times New Roman"/>
          <w:szCs w:val="28"/>
        </w:rPr>
        <w:t xml:space="preserve">         </w:t>
      </w:r>
      <w:r w:rsidRPr="005154DA" w:rsidR="00DD6C70">
        <w:rPr>
          <w:rFonts w:eastAsia="Times New Roman" w:cs="Times New Roman"/>
          <w:szCs w:val="28"/>
        </w:rPr>
        <w:t xml:space="preserve">                    </w:t>
      </w:r>
      <w:r w:rsidRPr="005154DA" w:rsidR="00444365">
        <w:rPr>
          <w:rFonts w:eastAsia="Times New Roman" w:cs="Times New Roman"/>
          <w:szCs w:val="28"/>
        </w:rPr>
        <w:t>Ē.Eglītis</w:t>
      </w:r>
    </w:p>
    <w:p w:rsidR="00641C79" w:rsidRPr="005154DA" w:rsidP="009B5AF2" w14:paraId="67E2F8DA" w14:textId="77777777">
      <w:pPr>
        <w:spacing w:before="360"/>
        <w:rPr>
          <w:sz w:val="20"/>
          <w:szCs w:val="20"/>
        </w:rPr>
      </w:pPr>
      <w:bookmarkStart w:id="1" w:name="OLE_LINK1"/>
      <w:bookmarkStart w:id="2" w:name="OLE_LINK2"/>
      <w:bookmarkStart w:id="3" w:name="OLE_LINK3"/>
      <w:bookmarkStart w:id="4" w:name="OLE_LINK4"/>
    </w:p>
    <w:p w:rsidR="00641C79" w:rsidRPr="005154DA" w:rsidP="009B5AF2" w14:paraId="0971C4AD" w14:textId="77777777">
      <w:pPr>
        <w:spacing w:before="360"/>
        <w:rPr>
          <w:sz w:val="20"/>
          <w:szCs w:val="20"/>
        </w:rPr>
      </w:pPr>
    </w:p>
    <w:p w:rsidR="00641C79" w:rsidRPr="005154DA" w:rsidP="009B5AF2" w14:paraId="6C92CF87" w14:textId="77777777">
      <w:pPr>
        <w:spacing w:before="360"/>
        <w:rPr>
          <w:sz w:val="20"/>
          <w:szCs w:val="20"/>
        </w:rPr>
      </w:pPr>
    </w:p>
    <w:p w:rsidR="00641C79" w:rsidRPr="005154DA" w:rsidP="009B5AF2" w14:paraId="57304E1A" w14:textId="77777777">
      <w:pPr>
        <w:spacing w:before="360"/>
        <w:rPr>
          <w:sz w:val="20"/>
          <w:szCs w:val="20"/>
        </w:rPr>
      </w:pPr>
    </w:p>
    <w:p w:rsidR="002A42FF" w:rsidRPr="005154DA" w:rsidP="002A42FF" w14:paraId="73311030" w14:textId="77777777">
      <w:pPr>
        <w:rPr>
          <w:rFonts w:eastAsia="Times New Roman" w:cs="Times New Roman"/>
          <w:sz w:val="20"/>
          <w:szCs w:val="20"/>
          <w:lang w:eastAsia="lv-LV"/>
        </w:rPr>
      </w:pPr>
      <w:bookmarkEnd w:id="1"/>
      <w:bookmarkEnd w:id="2"/>
      <w:bookmarkEnd w:id="3"/>
      <w:bookmarkEnd w:id="4"/>
      <w:r w:rsidRPr="005154DA">
        <w:rPr>
          <w:rFonts w:eastAsia="Times New Roman" w:cs="Times New Roman"/>
          <w:sz w:val="20"/>
          <w:szCs w:val="20"/>
          <w:lang w:eastAsia="lv-LV"/>
        </w:rPr>
        <w:t>Ozoliņa 67013175</w:t>
      </w:r>
    </w:p>
    <w:p w:rsidR="00DD3F0E" w:rsidRPr="005154DA" w:rsidP="002A42FF" w14:paraId="3C46EBFC" w14:textId="77777777">
      <w:pPr>
        <w:rPr>
          <w:rFonts w:eastAsia="Times New Roman" w:cs="Times New Roman"/>
          <w:sz w:val="20"/>
          <w:szCs w:val="20"/>
          <w:lang w:eastAsia="lv-LV"/>
        </w:rPr>
      </w:pPr>
      <w:r w:rsidRPr="005154DA">
        <w:rPr>
          <w:rFonts w:eastAsia="Times New Roman" w:cs="Times New Roman"/>
          <w:sz w:val="20"/>
          <w:szCs w:val="20"/>
          <w:u w:val="single"/>
          <w:lang w:eastAsia="lv-LV"/>
        </w:rPr>
        <w:t>Inguna.Ozolina@em.gov.lv</w:t>
      </w:r>
    </w:p>
    <w:sectPr w:rsidSect="003F5A60">
      <w:headerReference w:type="default" r:id="rId4"/>
      <w:footerReference w:type="default" r:id="rId5"/>
      <w:footerReference w:type="first" r:id="rId6"/>
      <w:pgSz w:w="11906" w:h="16838" w:code="9"/>
      <w:pgMar w:top="1418" w:right="1134"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5A60" w:rsidRPr="007A016B" w:rsidP="007A016B" w14:paraId="29A6CA3B" w14:textId="55ECA50B">
    <w:pPr>
      <w:pStyle w:val="Footer"/>
    </w:pPr>
    <w:r w:rsidRPr="005E6216">
      <w:rPr>
        <w:sz w:val="22"/>
      </w:rPr>
      <w:fldChar w:fldCharType="begin"/>
    </w:r>
    <w:r w:rsidRPr="005E6216">
      <w:rPr>
        <w:sz w:val="22"/>
      </w:rPr>
      <w:instrText xml:space="preserve"> FILENAME   \* MERGEFORMAT </w:instrText>
    </w:r>
    <w:r w:rsidRPr="005E6216">
      <w:rPr>
        <w:sz w:val="22"/>
      </w:rPr>
      <w:fldChar w:fldCharType="separate"/>
    </w:r>
    <w:r w:rsidRPr="005E6216">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3F0E" w:rsidRPr="007A016B" w:rsidP="00DD3F0E" w14:paraId="34E5722B" w14:textId="665FCB95">
    <w:pPr>
      <w:pStyle w:val="Footer"/>
    </w:pPr>
    <w:r w:rsidRPr="005E6216">
      <w:rPr>
        <w:sz w:val="22"/>
      </w:rPr>
      <w:fldChar w:fldCharType="begin"/>
    </w:r>
    <w:r w:rsidRPr="005E6216">
      <w:rPr>
        <w:sz w:val="22"/>
      </w:rPr>
      <w:instrText xml:space="preserve"> FILENAME   \* MERGEFORMAT </w:instrText>
    </w:r>
    <w:r w:rsidRPr="005E6216">
      <w:rPr>
        <w:sz w:val="22"/>
      </w:rPr>
      <w:fldChar w:fldCharType="separate"/>
    </w:r>
    <w:r w:rsidRPr="005E6216">
      <w:rPr>
        <w:sz w:val="22"/>
      </w:rPr>
      <w:fldChar w:fldCharType="end"/>
    </w:r>
  </w:p>
  <w:p w:rsidR="003F5A60" w:rsidP="003F5A60" w14:paraId="61599AA2" w14:textId="77777777">
    <w:pPr>
      <w:jc w:val="both"/>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4645531"/>
      <w:docPartObj>
        <w:docPartGallery w:val="Page Numbers (Top of Page)"/>
        <w:docPartUnique/>
      </w:docPartObj>
    </w:sdtPr>
    <w:sdtEndPr>
      <w:rPr>
        <w:noProof/>
        <w:sz w:val="24"/>
        <w:szCs w:val="24"/>
      </w:rPr>
    </w:sdtEndPr>
    <w:sdtContent>
      <w:p w:rsidR="003F5A60" w:rsidRPr="003F5A60" w:rsidP="003F5A60" w14:paraId="7F10A15F" w14:textId="08BBE1FB">
        <w:pPr>
          <w:pStyle w:val="Header"/>
          <w:jc w:val="center"/>
          <w:rPr>
            <w:sz w:val="24"/>
            <w:szCs w:val="24"/>
          </w:rPr>
        </w:pPr>
        <w:r w:rsidRPr="003F5A60">
          <w:rPr>
            <w:sz w:val="24"/>
            <w:szCs w:val="24"/>
          </w:rPr>
          <w:fldChar w:fldCharType="begin"/>
        </w:r>
        <w:r w:rsidRPr="003F5A60">
          <w:rPr>
            <w:sz w:val="24"/>
            <w:szCs w:val="24"/>
          </w:rPr>
          <w:instrText xml:space="preserve"> PAGE   \* MERGEFORMAT </w:instrText>
        </w:r>
        <w:r w:rsidRPr="003F5A60">
          <w:rPr>
            <w:sz w:val="24"/>
            <w:szCs w:val="24"/>
          </w:rPr>
          <w:fldChar w:fldCharType="separate"/>
        </w:r>
        <w:r w:rsidR="00CF6831">
          <w:rPr>
            <w:noProof/>
            <w:sz w:val="24"/>
            <w:szCs w:val="24"/>
          </w:rPr>
          <w:t>4</w:t>
        </w:r>
        <w:r w:rsidRPr="003F5A60">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5B3673EE"/>
    <w:multiLevelType w:val="hybridMultilevel"/>
    <w:tmpl w:val="65029564"/>
    <w:lvl w:ilvl="0">
      <w:start w:val="1"/>
      <w:numFmt w:val="bullet"/>
      <w:lvlText w:val=""/>
      <w:lvlJc w:val="left"/>
      <w:pPr>
        <w:ind w:left="1145" w:hanging="360"/>
      </w:pPr>
      <w:rPr>
        <w:rFonts w:ascii="Wingdings" w:hAnsi="Wingdings"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CB"/>
    <w:rsid w:val="000077FD"/>
    <w:rsid w:val="00011FE8"/>
    <w:rsid w:val="00031397"/>
    <w:rsid w:val="00036899"/>
    <w:rsid w:val="00043C26"/>
    <w:rsid w:val="000808B7"/>
    <w:rsid w:val="000937CE"/>
    <w:rsid w:val="000A549B"/>
    <w:rsid w:val="000B4C1D"/>
    <w:rsid w:val="000D24C3"/>
    <w:rsid w:val="000E0011"/>
    <w:rsid w:val="000E3BB0"/>
    <w:rsid w:val="000E6A47"/>
    <w:rsid w:val="000F355C"/>
    <w:rsid w:val="000F7A0F"/>
    <w:rsid w:val="00107FAE"/>
    <w:rsid w:val="0011047A"/>
    <w:rsid w:val="0013332F"/>
    <w:rsid w:val="001449C1"/>
    <w:rsid w:val="001466D0"/>
    <w:rsid w:val="00150C90"/>
    <w:rsid w:val="00173084"/>
    <w:rsid w:val="001773AE"/>
    <w:rsid w:val="00181092"/>
    <w:rsid w:val="001926D1"/>
    <w:rsid w:val="001B0AE7"/>
    <w:rsid w:val="001B1B37"/>
    <w:rsid w:val="001D084F"/>
    <w:rsid w:val="00205A17"/>
    <w:rsid w:val="0021118B"/>
    <w:rsid w:val="00211F71"/>
    <w:rsid w:val="00225515"/>
    <w:rsid w:val="00235F9B"/>
    <w:rsid w:val="00240021"/>
    <w:rsid w:val="002646F4"/>
    <w:rsid w:val="00281A90"/>
    <w:rsid w:val="002840E8"/>
    <w:rsid w:val="00291AA5"/>
    <w:rsid w:val="002A42FF"/>
    <w:rsid w:val="002B3762"/>
    <w:rsid w:val="002B53AA"/>
    <w:rsid w:val="002D026B"/>
    <w:rsid w:val="002E0A45"/>
    <w:rsid w:val="002F0D3D"/>
    <w:rsid w:val="0031092A"/>
    <w:rsid w:val="003158B0"/>
    <w:rsid w:val="00321A9A"/>
    <w:rsid w:val="00325E59"/>
    <w:rsid w:val="00376BF2"/>
    <w:rsid w:val="00376DAF"/>
    <w:rsid w:val="00377AF8"/>
    <w:rsid w:val="00383092"/>
    <w:rsid w:val="003A2925"/>
    <w:rsid w:val="003A3175"/>
    <w:rsid w:val="003B1DB9"/>
    <w:rsid w:val="003B2C2B"/>
    <w:rsid w:val="003D6F25"/>
    <w:rsid w:val="003D7F1F"/>
    <w:rsid w:val="003E6E20"/>
    <w:rsid w:val="003F551B"/>
    <w:rsid w:val="003F5A60"/>
    <w:rsid w:val="003F68CB"/>
    <w:rsid w:val="00411D03"/>
    <w:rsid w:val="00444365"/>
    <w:rsid w:val="00465D3E"/>
    <w:rsid w:val="00466D77"/>
    <w:rsid w:val="004846F5"/>
    <w:rsid w:val="00486F09"/>
    <w:rsid w:val="004936B3"/>
    <w:rsid w:val="004A033E"/>
    <w:rsid w:val="004A2C6C"/>
    <w:rsid w:val="004A4E49"/>
    <w:rsid w:val="004B5426"/>
    <w:rsid w:val="004B594F"/>
    <w:rsid w:val="004C2752"/>
    <w:rsid w:val="004C751C"/>
    <w:rsid w:val="004D0675"/>
    <w:rsid w:val="004E4BBF"/>
    <w:rsid w:val="005154DA"/>
    <w:rsid w:val="00540A1C"/>
    <w:rsid w:val="00565402"/>
    <w:rsid w:val="00571B0A"/>
    <w:rsid w:val="00572459"/>
    <w:rsid w:val="00574538"/>
    <w:rsid w:val="00585C9E"/>
    <w:rsid w:val="005A0087"/>
    <w:rsid w:val="005A2ACB"/>
    <w:rsid w:val="005A555C"/>
    <w:rsid w:val="005B186D"/>
    <w:rsid w:val="005C5348"/>
    <w:rsid w:val="005C7D63"/>
    <w:rsid w:val="005E1E70"/>
    <w:rsid w:val="005E6216"/>
    <w:rsid w:val="006028A9"/>
    <w:rsid w:val="006348E2"/>
    <w:rsid w:val="00641C79"/>
    <w:rsid w:val="0064540E"/>
    <w:rsid w:val="0064625D"/>
    <w:rsid w:val="00660D82"/>
    <w:rsid w:val="006636FF"/>
    <w:rsid w:val="00665239"/>
    <w:rsid w:val="006838E4"/>
    <w:rsid w:val="006927CE"/>
    <w:rsid w:val="006C1C3C"/>
    <w:rsid w:val="006C43E4"/>
    <w:rsid w:val="006D03B0"/>
    <w:rsid w:val="006D441F"/>
    <w:rsid w:val="00733BFD"/>
    <w:rsid w:val="00766797"/>
    <w:rsid w:val="007715A2"/>
    <w:rsid w:val="00776262"/>
    <w:rsid w:val="0079298C"/>
    <w:rsid w:val="00796AEF"/>
    <w:rsid w:val="007A016B"/>
    <w:rsid w:val="007A25ED"/>
    <w:rsid w:val="007A2714"/>
    <w:rsid w:val="007F2DDA"/>
    <w:rsid w:val="007F71CA"/>
    <w:rsid w:val="0082515C"/>
    <w:rsid w:val="00847CB8"/>
    <w:rsid w:val="008704BE"/>
    <w:rsid w:val="008722DF"/>
    <w:rsid w:val="00876FA6"/>
    <w:rsid w:val="00882E7B"/>
    <w:rsid w:val="00883F14"/>
    <w:rsid w:val="008B0472"/>
    <w:rsid w:val="008B7937"/>
    <w:rsid w:val="008E26B3"/>
    <w:rsid w:val="0090234B"/>
    <w:rsid w:val="009166A0"/>
    <w:rsid w:val="00916ECF"/>
    <w:rsid w:val="00923747"/>
    <w:rsid w:val="00947E99"/>
    <w:rsid w:val="009506A3"/>
    <w:rsid w:val="009565B3"/>
    <w:rsid w:val="009674ED"/>
    <w:rsid w:val="009722EA"/>
    <w:rsid w:val="00996739"/>
    <w:rsid w:val="00996DB1"/>
    <w:rsid w:val="00997CFA"/>
    <w:rsid w:val="009A6FFD"/>
    <w:rsid w:val="009B04A4"/>
    <w:rsid w:val="009B5AF2"/>
    <w:rsid w:val="009B6BB0"/>
    <w:rsid w:val="009D4526"/>
    <w:rsid w:val="009D6923"/>
    <w:rsid w:val="009E5083"/>
    <w:rsid w:val="009F0498"/>
    <w:rsid w:val="009F1344"/>
    <w:rsid w:val="009F6217"/>
    <w:rsid w:val="009F7942"/>
    <w:rsid w:val="00A2798F"/>
    <w:rsid w:val="00A44B05"/>
    <w:rsid w:val="00A57D7F"/>
    <w:rsid w:val="00A67890"/>
    <w:rsid w:val="00A75945"/>
    <w:rsid w:val="00A84CB4"/>
    <w:rsid w:val="00A9041E"/>
    <w:rsid w:val="00AB5CE5"/>
    <w:rsid w:val="00AC31A2"/>
    <w:rsid w:val="00AD0B23"/>
    <w:rsid w:val="00AE25C4"/>
    <w:rsid w:val="00AE5508"/>
    <w:rsid w:val="00AE5C6D"/>
    <w:rsid w:val="00B15742"/>
    <w:rsid w:val="00B22F9F"/>
    <w:rsid w:val="00B26993"/>
    <w:rsid w:val="00B37986"/>
    <w:rsid w:val="00B702AB"/>
    <w:rsid w:val="00BA6B06"/>
    <w:rsid w:val="00BB7344"/>
    <w:rsid w:val="00BF2756"/>
    <w:rsid w:val="00BF380B"/>
    <w:rsid w:val="00C02E47"/>
    <w:rsid w:val="00C041F1"/>
    <w:rsid w:val="00C17105"/>
    <w:rsid w:val="00C2064E"/>
    <w:rsid w:val="00C2613C"/>
    <w:rsid w:val="00C345E0"/>
    <w:rsid w:val="00C363A4"/>
    <w:rsid w:val="00C74F0C"/>
    <w:rsid w:val="00C80B7B"/>
    <w:rsid w:val="00C927DB"/>
    <w:rsid w:val="00C9429B"/>
    <w:rsid w:val="00CA0CD4"/>
    <w:rsid w:val="00CA3AE8"/>
    <w:rsid w:val="00CB1EF6"/>
    <w:rsid w:val="00CB4971"/>
    <w:rsid w:val="00CB6882"/>
    <w:rsid w:val="00CC3C32"/>
    <w:rsid w:val="00CD02B2"/>
    <w:rsid w:val="00CD4A47"/>
    <w:rsid w:val="00CD5BD2"/>
    <w:rsid w:val="00CE4D99"/>
    <w:rsid w:val="00CE526E"/>
    <w:rsid w:val="00CF1933"/>
    <w:rsid w:val="00CF6831"/>
    <w:rsid w:val="00D202E3"/>
    <w:rsid w:val="00D205C2"/>
    <w:rsid w:val="00D52911"/>
    <w:rsid w:val="00D560DB"/>
    <w:rsid w:val="00D57131"/>
    <w:rsid w:val="00D87F78"/>
    <w:rsid w:val="00D96370"/>
    <w:rsid w:val="00DC6897"/>
    <w:rsid w:val="00DC7EA7"/>
    <w:rsid w:val="00DD3F0E"/>
    <w:rsid w:val="00DD4ABD"/>
    <w:rsid w:val="00DD6C70"/>
    <w:rsid w:val="00E06B80"/>
    <w:rsid w:val="00E07E16"/>
    <w:rsid w:val="00E2739F"/>
    <w:rsid w:val="00E44233"/>
    <w:rsid w:val="00E7186D"/>
    <w:rsid w:val="00E90DF1"/>
    <w:rsid w:val="00E926D4"/>
    <w:rsid w:val="00EA086E"/>
    <w:rsid w:val="00EA0E99"/>
    <w:rsid w:val="00EA243F"/>
    <w:rsid w:val="00EC3862"/>
    <w:rsid w:val="00EC4649"/>
    <w:rsid w:val="00EC47AF"/>
    <w:rsid w:val="00EC75A1"/>
    <w:rsid w:val="00ED21A7"/>
    <w:rsid w:val="00F05AA0"/>
    <w:rsid w:val="00F065E5"/>
    <w:rsid w:val="00F2278C"/>
    <w:rsid w:val="00F33FC5"/>
    <w:rsid w:val="00F40E03"/>
    <w:rsid w:val="00F53C75"/>
    <w:rsid w:val="00F733F2"/>
    <w:rsid w:val="00F74F1D"/>
    <w:rsid w:val="00FA0673"/>
    <w:rsid w:val="00FA3BE6"/>
    <w:rsid w:val="00FB0B20"/>
    <w:rsid w:val="00FC3E82"/>
    <w:rsid w:val="00FD7A1A"/>
    <w:rsid w:val="00FE558C"/>
    <w:rsid w:val="00FF0CE0"/>
    <w:rsid w:val="00FF3635"/>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6EE18FB8-A2AD-498F-B6F7-F4F31C29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8"/>
        <w:szCs w:val="22"/>
        <w:lang w:val="lv-LV"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5A2ACB"/>
    <w:pPr>
      <w:spacing w:before="100" w:beforeAutospacing="1" w:after="100" w:afterAutospacing="1"/>
    </w:pPr>
    <w:rPr>
      <w:rFonts w:eastAsia="Times New Roman" w:cs="Times New Roman"/>
      <w:sz w:val="24"/>
      <w:szCs w:val="24"/>
      <w:lang w:eastAsia="lv-LV"/>
    </w:rPr>
  </w:style>
  <w:style w:type="character" w:styleId="Hyperlink">
    <w:name w:val="Hyperlink"/>
    <w:basedOn w:val="DefaultParagraphFont"/>
    <w:unhideWhenUsed/>
    <w:rsid w:val="005A2ACB"/>
    <w:rPr>
      <w:color w:val="0000FF"/>
      <w:u w:val="single"/>
    </w:rPr>
  </w:style>
  <w:style w:type="paragraph" w:customStyle="1" w:styleId="tvhtml">
    <w:name w:val="tv_html"/>
    <w:basedOn w:val="Normal"/>
    <w:rsid w:val="005A2ACB"/>
    <w:pPr>
      <w:spacing w:before="100" w:beforeAutospacing="1" w:after="100" w:afterAutospacing="1"/>
    </w:pPr>
    <w:rPr>
      <w:rFonts w:eastAsia="Times New Roman" w:cs="Times New Roman"/>
      <w:sz w:val="24"/>
      <w:szCs w:val="24"/>
      <w:lang w:eastAsia="lv-LV"/>
    </w:rPr>
  </w:style>
  <w:style w:type="character" w:styleId="Strong">
    <w:name w:val="Strong"/>
    <w:qFormat/>
    <w:rsid w:val="00466D77"/>
    <w:rPr>
      <w:b/>
      <w:bCs/>
    </w:rPr>
  </w:style>
  <w:style w:type="paragraph" w:styleId="Header">
    <w:name w:val="header"/>
    <w:basedOn w:val="Normal"/>
    <w:link w:val="HeaderChar"/>
    <w:uiPriority w:val="99"/>
    <w:unhideWhenUsed/>
    <w:rsid w:val="003F5A60"/>
    <w:pPr>
      <w:tabs>
        <w:tab w:val="center" w:pos="4153"/>
        <w:tab w:val="right" w:pos="8306"/>
      </w:tabs>
    </w:pPr>
  </w:style>
  <w:style w:type="character" w:customStyle="1" w:styleId="HeaderChar">
    <w:name w:val="Header Char"/>
    <w:basedOn w:val="DefaultParagraphFont"/>
    <w:link w:val="Header"/>
    <w:uiPriority w:val="99"/>
    <w:rsid w:val="003F5A60"/>
  </w:style>
  <w:style w:type="paragraph" w:styleId="Footer">
    <w:name w:val="footer"/>
    <w:basedOn w:val="Normal"/>
    <w:link w:val="FooterChar"/>
    <w:uiPriority w:val="99"/>
    <w:unhideWhenUsed/>
    <w:rsid w:val="003F5A60"/>
    <w:pPr>
      <w:tabs>
        <w:tab w:val="center" w:pos="4153"/>
        <w:tab w:val="right" w:pos="8306"/>
      </w:tabs>
    </w:pPr>
  </w:style>
  <w:style w:type="character" w:customStyle="1" w:styleId="FooterChar">
    <w:name w:val="Footer Char"/>
    <w:basedOn w:val="DefaultParagraphFont"/>
    <w:link w:val="Footer"/>
    <w:uiPriority w:val="99"/>
    <w:rsid w:val="003F5A60"/>
  </w:style>
  <w:style w:type="paragraph" w:customStyle="1" w:styleId="naisf">
    <w:name w:val="naisf"/>
    <w:basedOn w:val="Normal"/>
    <w:rsid w:val="00733BFD"/>
    <w:pPr>
      <w:spacing w:before="75" w:after="75"/>
      <w:ind w:firstLine="375"/>
      <w:jc w:val="both"/>
    </w:pPr>
    <w:rPr>
      <w:rFonts w:eastAsia="Times New Roman" w:cs="Times New Roman"/>
      <w:sz w:val="24"/>
      <w:szCs w:val="24"/>
      <w:lang w:eastAsia="lv-LV"/>
    </w:rPr>
  </w:style>
  <w:style w:type="paragraph" w:customStyle="1" w:styleId="Normal1">
    <w:name w:val="Normal1"/>
    <w:basedOn w:val="Normal"/>
    <w:rsid w:val="007F71CA"/>
    <w:rPr>
      <w:rFonts w:ascii="Calibri" w:eastAsia="Times New Roman" w:hAnsi="Calibri" w:cs="Times New Roman"/>
      <w:sz w:val="22"/>
      <w:lang w:eastAsia="lv-LV"/>
    </w:rPr>
  </w:style>
  <w:style w:type="character" w:customStyle="1" w:styleId="normalchar1">
    <w:name w:val="normal__char1"/>
    <w:basedOn w:val="DefaultParagraphFont"/>
    <w:rsid w:val="007F71CA"/>
    <w:rPr>
      <w:rFonts w:ascii="Calibri" w:hAnsi="Calibri" w:hint="default"/>
      <w:sz w:val="22"/>
      <w:szCs w:val="22"/>
    </w:rPr>
  </w:style>
  <w:style w:type="paragraph" w:customStyle="1" w:styleId="naiskr">
    <w:name w:val="naiskr"/>
    <w:basedOn w:val="Normal"/>
    <w:rsid w:val="007F71CA"/>
    <w:pPr>
      <w:spacing w:before="75" w:after="75"/>
    </w:pPr>
    <w:rPr>
      <w:rFonts w:eastAsia="Times New Roman" w:cs="Times New Roman"/>
      <w:sz w:val="24"/>
      <w:szCs w:val="24"/>
      <w:lang w:eastAsia="lv-LV"/>
    </w:rPr>
  </w:style>
  <w:style w:type="paragraph" w:styleId="BalloonText">
    <w:name w:val="Balloon Text"/>
    <w:basedOn w:val="Normal"/>
    <w:link w:val="BalloonTextChar"/>
    <w:uiPriority w:val="99"/>
    <w:semiHidden/>
    <w:unhideWhenUsed/>
    <w:rsid w:val="007A25ED"/>
    <w:rPr>
      <w:rFonts w:ascii="Tahoma" w:hAnsi="Tahoma" w:cs="Tahoma"/>
      <w:sz w:val="16"/>
      <w:szCs w:val="16"/>
    </w:rPr>
  </w:style>
  <w:style w:type="character" w:customStyle="1" w:styleId="BalloonTextChar">
    <w:name w:val="Balloon Text Char"/>
    <w:basedOn w:val="DefaultParagraphFont"/>
    <w:link w:val="BalloonText"/>
    <w:uiPriority w:val="99"/>
    <w:semiHidden/>
    <w:rsid w:val="007A25ED"/>
    <w:rPr>
      <w:rFonts w:ascii="Tahoma" w:hAnsi="Tahoma" w:cs="Tahoma"/>
      <w:sz w:val="16"/>
      <w:szCs w:val="16"/>
    </w:rPr>
  </w:style>
  <w:style w:type="character" w:styleId="CommentReference">
    <w:name w:val="annotation reference"/>
    <w:basedOn w:val="DefaultParagraphFont"/>
    <w:uiPriority w:val="99"/>
    <w:semiHidden/>
    <w:unhideWhenUsed/>
    <w:rsid w:val="00B22F9F"/>
    <w:rPr>
      <w:sz w:val="16"/>
      <w:szCs w:val="16"/>
    </w:rPr>
  </w:style>
  <w:style w:type="paragraph" w:styleId="CommentText">
    <w:name w:val="annotation text"/>
    <w:basedOn w:val="Normal"/>
    <w:link w:val="CommentTextChar"/>
    <w:uiPriority w:val="99"/>
    <w:semiHidden/>
    <w:unhideWhenUsed/>
    <w:rsid w:val="00B22F9F"/>
    <w:rPr>
      <w:sz w:val="20"/>
      <w:szCs w:val="20"/>
    </w:rPr>
  </w:style>
  <w:style w:type="character" w:customStyle="1" w:styleId="CommentTextChar">
    <w:name w:val="Comment Text Char"/>
    <w:basedOn w:val="DefaultParagraphFont"/>
    <w:link w:val="CommentText"/>
    <w:uiPriority w:val="99"/>
    <w:semiHidden/>
    <w:rsid w:val="00B22F9F"/>
    <w:rPr>
      <w:sz w:val="20"/>
      <w:szCs w:val="20"/>
    </w:rPr>
  </w:style>
  <w:style w:type="paragraph" w:styleId="CommentSubject">
    <w:name w:val="annotation subject"/>
    <w:basedOn w:val="CommentText"/>
    <w:next w:val="CommentText"/>
    <w:link w:val="CommentSubjectChar"/>
    <w:uiPriority w:val="99"/>
    <w:semiHidden/>
    <w:unhideWhenUsed/>
    <w:rsid w:val="00B22F9F"/>
    <w:rPr>
      <w:b/>
      <w:bCs/>
    </w:rPr>
  </w:style>
  <w:style w:type="character" w:customStyle="1" w:styleId="CommentSubjectChar">
    <w:name w:val="Comment Subject Char"/>
    <w:basedOn w:val="CommentTextChar"/>
    <w:link w:val="CommentSubject"/>
    <w:uiPriority w:val="99"/>
    <w:semiHidden/>
    <w:rsid w:val="00B22F9F"/>
    <w:rPr>
      <w:b/>
      <w:bCs/>
      <w:sz w:val="20"/>
      <w:szCs w:val="20"/>
    </w:rPr>
  </w:style>
  <w:style w:type="paragraph" w:customStyle="1" w:styleId="tv213">
    <w:name w:val="tv213"/>
    <w:basedOn w:val="Normal"/>
    <w:rsid w:val="000D24C3"/>
    <w:pPr>
      <w:spacing w:before="100" w:beforeAutospacing="1" w:after="100" w:afterAutospacing="1"/>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4096</Words>
  <Characters>2335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Grozījumi MK 2014.gada 25.marta noteikumos Nr.156 "Būvizstrādājumu tirgus uzraudzības kārtība"</vt:lpstr>
    </vt:vector>
  </TitlesOfParts>
  <Company>Ekonomikas ministrija</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MK 2014.gada 25.marta noteikumos Nr.156 "Būvizstrādājumu tirgus uzraudzības kārtība"</dc:title>
  <dc:subject>Sākotnējās ietekmes novērtējuma ziņojums (anotācija)</dc:subject>
  <dc:creator>Andris Mālnieks</dc:creator>
  <dc:description>67013086, Andris.Malnieks@em.gov.lv</dc:description>
  <cp:lastModifiedBy>Inguna Ozoliņa</cp:lastModifiedBy>
  <cp:revision>2</cp:revision>
  <cp:lastPrinted>2017-08-02T08:16:00Z</cp:lastPrinted>
  <dcterms:created xsi:type="dcterms:W3CDTF">2018-05-09T06:18:00Z</dcterms:created>
  <dcterms:modified xsi:type="dcterms:W3CDTF">2018-05-09T06:18:00Z</dcterms:modified>
</cp:coreProperties>
</file>